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99F1" w14:textId="77777777" w:rsidR="003A0210" w:rsidRPr="003A0210" w:rsidRDefault="003A0210" w:rsidP="003A0210">
      <w:pPr>
        <w:pStyle w:val="Heading1"/>
        <w:spacing w:before="0"/>
        <w:jc w:val="center"/>
      </w:pPr>
      <w:r w:rsidRPr="003A0210">
        <w:t>Activities</w:t>
      </w:r>
      <w:r w:rsidRPr="003A0210">
        <w:br/>
      </w:r>
      <w:r w:rsidRPr="003A0210">
        <w:rPr>
          <w:sz w:val="20"/>
          <w:szCs w:val="36"/>
        </w:rPr>
        <w:t>If the Australian CDC does this…</w:t>
      </w:r>
    </w:p>
    <w:p w14:paraId="4813A060" w14:textId="365A0B22" w:rsidR="003A0210" w:rsidRPr="003A0210" w:rsidRDefault="003A0210" w:rsidP="003A0210">
      <w:pPr>
        <w:pStyle w:val="Heading2"/>
      </w:pPr>
      <w:r w:rsidRPr="003A0210">
        <w:t>Build rapid and comprehensive data for actionable insights</w:t>
      </w:r>
    </w:p>
    <w:p w14:paraId="7598713D" w14:textId="77777777" w:rsidR="003A0210" w:rsidRDefault="003A0210" w:rsidP="003A0210">
      <w:pPr>
        <w:pStyle w:val="ListParagraph"/>
        <w:numPr>
          <w:ilvl w:val="0"/>
          <w:numId w:val="33"/>
        </w:numPr>
        <w:spacing w:before="0"/>
        <w:ind w:left="426" w:hanging="284"/>
      </w:pPr>
      <w:r>
        <w:t>Develop a new national communicable disease surveillance system</w:t>
      </w:r>
    </w:p>
    <w:p w14:paraId="743D2F56" w14:textId="77777777" w:rsidR="003A0210" w:rsidRDefault="003A0210" w:rsidP="003A0210">
      <w:pPr>
        <w:pStyle w:val="ListParagraph"/>
        <w:numPr>
          <w:ilvl w:val="0"/>
          <w:numId w:val="33"/>
        </w:numPr>
        <w:ind w:left="426" w:hanging="284"/>
      </w:pPr>
      <w:r>
        <w:t>Strengthen public health data resources</w:t>
      </w:r>
    </w:p>
    <w:p w14:paraId="33FC639C" w14:textId="5843817F" w:rsidR="003A0210" w:rsidRDefault="003A0210" w:rsidP="003A0210">
      <w:pPr>
        <w:pStyle w:val="ListParagraph"/>
        <w:numPr>
          <w:ilvl w:val="0"/>
          <w:numId w:val="33"/>
        </w:numPr>
        <w:ind w:left="426" w:hanging="284"/>
      </w:pPr>
      <w:r>
        <w:t>Accelerate access to data to support decision-making</w:t>
      </w:r>
    </w:p>
    <w:p w14:paraId="3984CEA8" w14:textId="29033DB7" w:rsidR="00E86E5B" w:rsidRDefault="003A0210" w:rsidP="003A0210">
      <w:pPr>
        <w:pStyle w:val="ListParagraph"/>
        <w:numPr>
          <w:ilvl w:val="0"/>
          <w:numId w:val="33"/>
        </w:numPr>
        <w:ind w:left="426" w:hanging="284"/>
      </w:pPr>
      <w:r>
        <w:t>Advance interoperability of data across jurisdictions and sectors</w:t>
      </w:r>
    </w:p>
    <w:p w14:paraId="2D40A150" w14:textId="1B3B49C5" w:rsidR="003A0210" w:rsidRPr="003A0210" w:rsidRDefault="003A0210" w:rsidP="003A0210">
      <w:pPr>
        <w:pStyle w:val="Heading2"/>
      </w:pPr>
      <w:r>
        <w:t>Develop partnerships for enabling data governance</w:t>
      </w:r>
    </w:p>
    <w:p w14:paraId="23794A17" w14:textId="77777777" w:rsidR="003A0210" w:rsidRDefault="003A0210" w:rsidP="003A0210">
      <w:pPr>
        <w:pStyle w:val="ListParagraph"/>
        <w:numPr>
          <w:ilvl w:val="0"/>
          <w:numId w:val="34"/>
        </w:numPr>
        <w:spacing w:before="0"/>
        <w:ind w:left="426" w:hanging="284"/>
      </w:pPr>
      <w:r>
        <w:t>Enable linkage of person level data</w:t>
      </w:r>
    </w:p>
    <w:p w14:paraId="7F1C0787" w14:textId="77777777" w:rsidR="003A0210" w:rsidRDefault="003A0210" w:rsidP="003A0210">
      <w:pPr>
        <w:pStyle w:val="ListParagraph"/>
        <w:numPr>
          <w:ilvl w:val="0"/>
          <w:numId w:val="34"/>
        </w:numPr>
        <w:ind w:left="426" w:hanging="284"/>
      </w:pPr>
      <w:r>
        <w:t>Support multidirectional data sharing</w:t>
      </w:r>
    </w:p>
    <w:p w14:paraId="767BE531" w14:textId="7159C891" w:rsidR="003A0210" w:rsidRDefault="003A0210" w:rsidP="003A0210">
      <w:pPr>
        <w:pStyle w:val="ListParagraph"/>
        <w:numPr>
          <w:ilvl w:val="0"/>
          <w:numId w:val="34"/>
        </w:numPr>
        <w:ind w:left="426" w:hanging="284"/>
      </w:pPr>
      <w:r>
        <w:t>Develop framework for use of novel data sources</w:t>
      </w:r>
    </w:p>
    <w:p w14:paraId="0F3D59ED" w14:textId="77777777" w:rsidR="003A0210" w:rsidRDefault="003A0210" w:rsidP="003A0210">
      <w:pPr>
        <w:pStyle w:val="Heading2"/>
      </w:pPr>
      <w:r>
        <w:t>Deliver enhanced data to support health equity</w:t>
      </w:r>
    </w:p>
    <w:p w14:paraId="3FAF8FDF" w14:textId="77777777" w:rsidR="003A0210" w:rsidRDefault="003A0210" w:rsidP="003A0210">
      <w:pPr>
        <w:pStyle w:val="ListParagraph"/>
        <w:numPr>
          <w:ilvl w:val="0"/>
          <w:numId w:val="35"/>
        </w:numPr>
        <w:spacing w:before="0"/>
        <w:ind w:left="426" w:hanging="284"/>
      </w:pPr>
      <w:r>
        <w:t>Develop architecture to analyse disease burden and severity across different populations</w:t>
      </w:r>
    </w:p>
    <w:p w14:paraId="4F6A41AB" w14:textId="4D2F2F62" w:rsidR="003A0210" w:rsidRDefault="003A0210" w:rsidP="003A0210">
      <w:pPr>
        <w:pStyle w:val="ListParagraph"/>
        <w:numPr>
          <w:ilvl w:val="0"/>
          <w:numId w:val="35"/>
        </w:numPr>
        <w:ind w:left="426" w:hanging="284"/>
      </w:pPr>
      <w:r>
        <w:t>Support culturally appropriate governance of data</w:t>
      </w:r>
    </w:p>
    <w:p w14:paraId="6F9A8344" w14:textId="06FE0B8B" w:rsidR="003A0210" w:rsidRDefault="003A0210" w:rsidP="003A0210">
      <w:pPr>
        <w:pStyle w:val="Heading2"/>
      </w:pPr>
      <w:r>
        <w:t>Build public trust in CDC data use</w:t>
      </w:r>
    </w:p>
    <w:p w14:paraId="15AAAFB5" w14:textId="1BAE7C8F" w:rsidR="003A0210" w:rsidRDefault="003A0210" w:rsidP="003A0210">
      <w:pPr>
        <w:pStyle w:val="ListParagraph"/>
        <w:numPr>
          <w:ilvl w:val="0"/>
          <w:numId w:val="36"/>
        </w:numPr>
        <w:spacing w:before="0"/>
        <w:ind w:left="426" w:hanging="284"/>
      </w:pPr>
      <w:r>
        <w:rPr>
          <w:noProof/>
        </w:rPr>
        <mc:AlternateContent>
          <mc:Choice Requires="wps">
            <w:drawing>
              <wp:anchor distT="0" distB="0" distL="114300" distR="114300" simplePos="0" relativeHeight="251659264" behindDoc="0" locked="0" layoutInCell="1" allowOverlap="1" wp14:anchorId="0FDA7DDE" wp14:editId="75967E35">
                <wp:simplePos x="0" y="0"/>
                <wp:positionH relativeFrom="column">
                  <wp:posOffset>3172350</wp:posOffset>
                </wp:positionH>
                <wp:positionV relativeFrom="paragraph">
                  <wp:posOffset>140777</wp:posOffset>
                </wp:positionV>
                <wp:extent cx="2724150" cy="906421"/>
                <wp:effectExtent l="0" t="0" r="6350" b="0"/>
                <wp:wrapNone/>
                <wp:docPr id="983996147" name="Off-page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flipV="1">
                          <a:off x="0" y="0"/>
                          <a:ext cx="2724150" cy="906421"/>
                        </a:xfrm>
                        <a:prstGeom prst="flowChartOffpageConnector">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DC6C8E" id="_x0000_t177" coordsize="21600,21600" o:spt="177" path="m,l21600,r,17255l10800,21600,,17255xe">
                <v:stroke joinstyle="miter"/>
                <v:path gradientshapeok="t" o:connecttype="rect" textboxrect="0,0,21600,17255"/>
              </v:shapetype>
              <v:shape id="Off-page Connector 2" o:spid="_x0000_s1026" type="#_x0000_t177" alt="&quot;&quot;" style="position:absolute;margin-left:249.8pt;margin-top:11.1pt;width:214.5pt;height:71.35pt;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" fillcolor="#b7c7d7 [3214]" stroked="f" strokeweight="2pt"/>
            </w:pict>
          </mc:Fallback>
        </mc:AlternateContent>
      </w:r>
      <w:r>
        <w:rPr>
          <w:noProof/>
        </w:rPr>
        <mc:AlternateContent>
          <mc:Choice Requires="wps">
            <w:drawing>
              <wp:anchor distT="0" distB="0" distL="114300" distR="114300" simplePos="0" relativeHeight="251660288" behindDoc="0" locked="0" layoutInCell="1" allowOverlap="1" wp14:anchorId="2FDFB16D" wp14:editId="27246E9D">
                <wp:simplePos x="0" y="0"/>
                <wp:positionH relativeFrom="column">
                  <wp:posOffset>3170638</wp:posOffset>
                </wp:positionH>
                <wp:positionV relativeFrom="paragraph">
                  <wp:posOffset>371144</wp:posOffset>
                </wp:positionV>
                <wp:extent cx="2724150" cy="548060"/>
                <wp:effectExtent l="0" t="0" r="0" b="0"/>
                <wp:wrapNone/>
                <wp:docPr id="994086288" name="Text Box 3"/>
                <wp:cNvGraphicFramePr/>
                <a:graphic xmlns:a="http://schemas.openxmlformats.org/drawingml/2006/main">
                  <a:graphicData uri="http://schemas.microsoft.com/office/word/2010/wordprocessingShape">
                    <wps:wsp>
                      <wps:cNvSpPr txBox="1"/>
                      <wps:spPr>
                        <a:xfrm>
                          <a:off x="0" y="0"/>
                          <a:ext cx="2724150" cy="548060"/>
                        </a:xfrm>
                        <a:prstGeom prst="rect">
                          <a:avLst/>
                        </a:prstGeom>
                        <a:noFill/>
                        <a:ln w="6350">
                          <a:noFill/>
                        </a:ln>
                      </wps:spPr>
                      <wps:txbx>
                        <w:txbxContent>
                          <w:p w14:paraId="3F4D5A61" w14:textId="6948BE2F" w:rsidR="003A0210" w:rsidRDefault="003A0210" w:rsidP="003A0210">
                            <w:pPr>
                              <w:jc w:val="center"/>
                            </w:pPr>
                            <w:r>
                              <w:t>Highly skilled workforce that uses contemporary data skills and tools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DFB16D" id="_x0000_t202" coordsize="21600,21600" o:spt="202" path="m,l,21600r21600,l21600,xe">
                <v:stroke joinstyle="miter"/>
                <v:path gradientshapeok="t" o:connecttype="rect"/>
              </v:shapetype>
              <v:shape id="Text Box 3" o:spid="_x0000_s1026" type="#_x0000_t202" style="position:absolute;left:0;text-align:left;margin-left:249.65pt;margin-top:29.2pt;width:214.5pt;height:4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yGFg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" filled="f" stroked="f" strokeweight=".5pt">
                <v:textbox>
                  <w:txbxContent>
                    <w:p w14:paraId="3F4D5A61" w14:textId="6948BE2F" w:rsidR="003A0210" w:rsidRDefault="003A0210" w:rsidP="003A0210">
                      <w:pPr>
                        <w:jc w:val="center"/>
                      </w:pPr>
                      <w:r>
                        <w:t>Highly skilled workforce that uses contemporary data skills and tools</w:t>
                      </w:r>
                    </w:p>
                  </w:txbxContent>
                </v:textbox>
              </v:shape>
            </w:pict>
          </mc:Fallback>
        </mc:AlternateContent>
      </w:r>
      <w:r>
        <w:t>Cultivate and maintain an authorising environment for CDC data and analytical activities</w:t>
      </w:r>
    </w:p>
    <w:p w14:paraId="50236ABA" w14:textId="77777777" w:rsidR="003A0210" w:rsidRDefault="003A0210" w:rsidP="003A0210">
      <w:pPr>
        <w:pStyle w:val="ListParagraph"/>
        <w:numPr>
          <w:ilvl w:val="0"/>
          <w:numId w:val="36"/>
        </w:numPr>
        <w:ind w:left="426" w:hanging="284"/>
      </w:pPr>
      <w:r>
        <w:t>Support robust handling and use of data in line with community expectations and legislated responsibilities</w:t>
      </w:r>
    </w:p>
    <w:p w14:paraId="3EA6C360" w14:textId="79C22F58" w:rsidR="003A0210" w:rsidRDefault="003A0210" w:rsidP="003A0210">
      <w:pPr>
        <w:pStyle w:val="ListParagraph"/>
        <w:numPr>
          <w:ilvl w:val="0"/>
          <w:numId w:val="36"/>
        </w:numPr>
        <w:ind w:left="426" w:hanging="284"/>
      </w:pPr>
      <w:r>
        <w:t>Facilitate transparency in decision-making</w:t>
      </w:r>
    </w:p>
    <w:p w14:paraId="03650606" w14:textId="77777777" w:rsidR="003A0210" w:rsidRPr="003A0210" w:rsidRDefault="003A0210" w:rsidP="003A0210">
      <w:pPr>
        <w:pStyle w:val="Heading1"/>
        <w:spacing w:after="600"/>
        <w:jc w:val="center"/>
      </w:pPr>
      <w:r w:rsidRPr="003A0210">
        <w:t xml:space="preserve">Outcomes </w:t>
      </w:r>
      <w:r w:rsidRPr="003A0210">
        <w:br/>
      </w:r>
      <w:r w:rsidRPr="003A0210">
        <w:rPr>
          <w:sz w:val="20"/>
          <w:szCs w:val="36"/>
        </w:rPr>
        <w:t>… then we can expect…</w:t>
      </w:r>
    </w:p>
    <w:p w14:paraId="27B24C2F" w14:textId="24D9883C" w:rsidR="003A0210" w:rsidRDefault="003A0210" w:rsidP="003A0210">
      <w:pPr>
        <w:pStyle w:val="Heading2"/>
        <w:jc w:val="center"/>
      </w:pPr>
      <w:r>
        <w:rPr>
          <w:noProof/>
        </w:rPr>
        <w:drawing>
          <wp:inline distT="0" distB="0" distL="0" distR="0" wp14:anchorId="76C3F18E" wp14:editId="6099EFD7">
            <wp:extent cx="2724150" cy="2724150"/>
            <wp:effectExtent l="0" t="0" r="6350" b="6350"/>
            <wp:docPr id="361790228" name="Picture 1" descr="Faster, detailed, coordinated national data for actionable insights.- Interoperable, cloud based national surveillance and analysis system- Improved collection, quality, completeness and consistency of priority data-Architecture for analysis of social, behavioural, economic, environmental &amp; wider Determinants data -Multi-way data sharing across jurisdictions and s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90228" name="Picture 1" descr="Faster, detailed, coordinated national data for actionable insights.- Interoperable, cloud based national surveillance and analysis system- Improved collection, quality, completeness and consistency of priority data-Architecture for analysis of social, behavioural, economic, environmental &amp; wider Determinants data -Multi-way data sharing across jurisdictions and sector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p>
    <w:p w14:paraId="0C710EB2" w14:textId="77777777" w:rsidR="003A0210" w:rsidRPr="003A0210" w:rsidRDefault="003A0210" w:rsidP="003A0210">
      <w:pPr>
        <w:pStyle w:val="Heading1"/>
        <w:jc w:val="center"/>
        <w:rPr>
          <w:sz w:val="20"/>
          <w:szCs w:val="36"/>
        </w:rPr>
      </w:pPr>
      <w:r>
        <w:br w:type="column"/>
      </w:r>
      <w:r>
        <w:t>Impacts</w:t>
      </w:r>
      <w:r>
        <w:br/>
      </w:r>
      <w:r w:rsidRPr="003A0210">
        <w:rPr>
          <w:sz w:val="20"/>
          <w:szCs w:val="36"/>
        </w:rPr>
        <w:t>… to support our ultimate goals</w:t>
      </w:r>
    </w:p>
    <w:p w14:paraId="42A98EDA" w14:textId="6D200000" w:rsidR="003A0210" w:rsidRDefault="0045789C" w:rsidP="0045789C">
      <w:pPr>
        <w:spacing w:before="360"/>
      </w:pPr>
      <w:r>
        <w:rPr>
          <w:noProof/>
        </w:rPr>
        <w:drawing>
          <wp:anchor distT="0" distB="0" distL="114300" distR="114300" simplePos="0" relativeHeight="251661312" behindDoc="1" locked="0" layoutInCell="1" allowOverlap="1" wp14:anchorId="7FACFD20" wp14:editId="0BCAFA06">
            <wp:simplePos x="0" y="0"/>
            <wp:positionH relativeFrom="column">
              <wp:posOffset>69215</wp:posOffset>
            </wp:positionH>
            <wp:positionV relativeFrom="paragraph">
              <wp:posOffset>0</wp:posOffset>
            </wp:positionV>
            <wp:extent cx="927100" cy="4889500"/>
            <wp:effectExtent l="0" t="0" r="0" b="0"/>
            <wp:wrapTight wrapText="bothSides">
              <wp:wrapPolygon edited="0">
                <wp:start x="0" y="0"/>
                <wp:lineTo x="0" y="21544"/>
                <wp:lineTo x="21304" y="21544"/>
                <wp:lineTo x="21304" y="0"/>
                <wp:lineTo x="0" y="0"/>
              </wp:wrapPolygon>
            </wp:wrapTight>
            <wp:docPr id="1658957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957962" name="Picture 165895796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7100" cy="4889500"/>
                    </a:xfrm>
                    <a:prstGeom prst="rect">
                      <a:avLst/>
                    </a:prstGeom>
                  </pic:spPr>
                </pic:pic>
              </a:graphicData>
            </a:graphic>
            <wp14:sizeRelH relativeFrom="page">
              <wp14:pctWidth>0</wp14:pctWidth>
            </wp14:sizeRelH>
            <wp14:sizeRelV relativeFrom="page">
              <wp14:pctHeight>0</wp14:pctHeight>
            </wp14:sizeRelV>
          </wp:anchor>
        </w:drawing>
      </w:r>
      <w:r w:rsidR="003A0210" w:rsidRPr="003A0210">
        <w:t>Better health outcomes for all Australians</w:t>
      </w:r>
    </w:p>
    <w:p w14:paraId="2C8D06AA" w14:textId="5848553B" w:rsidR="0045789C" w:rsidRDefault="0045789C" w:rsidP="0045789C">
      <w:pPr>
        <w:spacing w:before="960"/>
      </w:pPr>
      <w:r w:rsidRPr="0045789C">
        <w:t>The Australian CDC is a trusted authority of evidence-based advice</w:t>
      </w:r>
    </w:p>
    <w:p w14:paraId="7FE52F21" w14:textId="339DC812" w:rsidR="0045789C" w:rsidRDefault="0045789C" w:rsidP="0045789C">
      <w:pPr>
        <w:spacing w:before="960"/>
      </w:pPr>
      <w:r w:rsidRPr="0045789C">
        <w:t>National consistency in public health advice and coordinated action</w:t>
      </w:r>
    </w:p>
    <w:p w14:paraId="796106ED" w14:textId="4EE9FB94" w:rsidR="0045789C" w:rsidRDefault="0045789C" w:rsidP="0045789C">
      <w:pPr>
        <w:spacing w:before="960"/>
      </w:pPr>
      <w:r>
        <w:t>Accurate, evidence-based advice for effective, equitable, efficient and proportionate public health actions</w:t>
      </w:r>
    </w:p>
    <w:p w14:paraId="25F4C710" w14:textId="3C5D3335" w:rsidR="0045789C" w:rsidRDefault="0045789C" w:rsidP="0045789C">
      <w:pPr>
        <w:spacing w:before="960"/>
      </w:pPr>
      <w:r w:rsidRPr="0045789C">
        <w:t>Rapid identification of emerging public health issues</w:t>
      </w:r>
    </w:p>
    <w:p w14:paraId="5492A3B8" w14:textId="77777777" w:rsidR="0045789C" w:rsidRDefault="0045789C" w:rsidP="0045789C">
      <w:pPr>
        <w:pStyle w:val="Heading1"/>
        <w:sectPr w:rsidR="0045789C" w:rsidSect="003A0210">
          <w:headerReference w:type="default" r:id="rId13"/>
          <w:headerReference w:type="first" r:id="rId14"/>
          <w:footerReference w:type="first" r:id="rId15"/>
          <w:pgSz w:w="16838" w:h="11906" w:orient="landscape" w:code="9"/>
          <w:pgMar w:top="-2205" w:right="1134" w:bottom="1219" w:left="1418" w:header="567" w:footer="370" w:gutter="0"/>
          <w:cols w:num="3" w:space="708"/>
          <w:titlePg/>
          <w:docGrid w:linePitch="360"/>
        </w:sectPr>
      </w:pPr>
    </w:p>
    <w:p w14:paraId="053DAFC6" w14:textId="7CB47CD8" w:rsidR="0045789C" w:rsidRPr="0045789C" w:rsidRDefault="0045789C" w:rsidP="0045789C">
      <w:pPr>
        <w:pStyle w:val="Heading1"/>
        <w:rPr>
          <w:b w:val="0"/>
          <w:bCs/>
          <w:sz w:val="36"/>
          <w:szCs w:val="72"/>
        </w:rPr>
      </w:pPr>
      <w:r w:rsidRPr="0045789C">
        <w:rPr>
          <w:b w:val="0"/>
          <w:bCs/>
          <w:sz w:val="36"/>
          <w:szCs w:val="72"/>
        </w:rPr>
        <w:lastRenderedPageBreak/>
        <w:t>Summary</w:t>
      </w:r>
    </w:p>
    <w:p w14:paraId="2A8CE5BF" w14:textId="1941B164" w:rsidR="0045789C" w:rsidRDefault="0045789C" w:rsidP="0045789C">
      <w:r>
        <w:t xml:space="preserve">The Australian CDC wants to improve how data is used so that we can support better health for all Australians. </w:t>
      </w:r>
    </w:p>
    <w:p w14:paraId="7A56874E" w14:textId="5C032098" w:rsidR="0045789C" w:rsidRDefault="0045789C" w:rsidP="0045789C">
      <w:r>
        <w:t>The Preliminary Data Strategy outlines the activities the CDC will take to improve the role of data in public health decisions across four main priority areas, including:</w:t>
      </w:r>
    </w:p>
    <w:p w14:paraId="6491C102" w14:textId="074429CA" w:rsidR="0045789C" w:rsidRPr="0045789C" w:rsidRDefault="0045789C" w:rsidP="0045789C">
      <w:pPr>
        <w:pStyle w:val="ListParagraph"/>
        <w:numPr>
          <w:ilvl w:val="0"/>
          <w:numId w:val="37"/>
        </w:numPr>
        <w:ind w:left="284" w:hanging="284"/>
        <w:rPr>
          <w:b/>
          <w:bCs/>
        </w:rPr>
      </w:pPr>
      <w:r w:rsidRPr="0045789C">
        <w:rPr>
          <w:b/>
          <w:bCs/>
        </w:rPr>
        <w:t>Build rapid and comprehensive data for actionable insights</w:t>
      </w:r>
    </w:p>
    <w:p w14:paraId="46A6455D" w14:textId="1FC161F5" w:rsidR="0045789C" w:rsidRDefault="0045789C" w:rsidP="004530AD">
      <w:pPr>
        <w:ind w:right="139"/>
      </w:pPr>
      <w:r>
        <w:t xml:space="preserve">These activities will support improvements in how the CDC collects data and how it is combined with other data so that we can better understand the whole picture. We want to be able to get these insights faster so that we can give advice that will benefit all Australians in a timely way. A main output for this priority is developing a new National Public Health and Surveillance System which will allow for fast data flows – this is important in emergency situations. </w:t>
      </w:r>
    </w:p>
    <w:p w14:paraId="73BFE03E" w14:textId="54D076E3" w:rsidR="0045789C" w:rsidRPr="0045789C" w:rsidRDefault="0045789C" w:rsidP="0045789C">
      <w:pPr>
        <w:pStyle w:val="ListParagraph"/>
        <w:numPr>
          <w:ilvl w:val="0"/>
          <w:numId w:val="37"/>
        </w:numPr>
        <w:ind w:left="284" w:hanging="284"/>
        <w:rPr>
          <w:b/>
          <w:bCs/>
        </w:rPr>
      </w:pPr>
      <w:r w:rsidRPr="0045789C">
        <w:rPr>
          <w:b/>
          <w:bCs/>
        </w:rPr>
        <w:t>Develop partnerships for enabling data governance</w:t>
      </w:r>
    </w:p>
    <w:p w14:paraId="230A9419" w14:textId="149C52D0" w:rsidR="0045789C" w:rsidRDefault="0045789C" w:rsidP="0045789C">
      <w:r>
        <w:t xml:space="preserve">These activities will support improvements in how we share and link data from a range of sources. Developing partnerships with key stakeholders and improving how we share data will ensure that we use it efficiently to prepare, respond, and adapt to public health issues. </w:t>
      </w:r>
    </w:p>
    <w:p w14:paraId="67E05A5F" w14:textId="03BB3018" w:rsidR="0045789C" w:rsidRPr="0045789C" w:rsidRDefault="0045789C" w:rsidP="0045789C">
      <w:pPr>
        <w:pStyle w:val="ListParagraph"/>
        <w:numPr>
          <w:ilvl w:val="0"/>
          <w:numId w:val="37"/>
        </w:numPr>
        <w:ind w:left="284" w:hanging="284"/>
        <w:rPr>
          <w:b/>
          <w:bCs/>
        </w:rPr>
      </w:pPr>
      <w:r w:rsidRPr="0045789C">
        <w:rPr>
          <w:b/>
          <w:bCs/>
        </w:rPr>
        <w:t>Deliver enhanced data to support health equity</w:t>
      </w:r>
    </w:p>
    <w:p w14:paraId="24F7DFCE" w14:textId="5B2BD43A" w:rsidR="0045789C" w:rsidRDefault="0045789C" w:rsidP="0045789C">
      <w:r>
        <w:t xml:space="preserve">These activities will support improvements in how we understand health impacts and how they vary across different populations. This will ensure we give clear advice to improve health equity, and ensure we use data in a culturally appropriate way. </w:t>
      </w:r>
    </w:p>
    <w:p w14:paraId="5451ADE3" w14:textId="4CB91BFB" w:rsidR="0045789C" w:rsidRPr="0045789C" w:rsidRDefault="0045789C" w:rsidP="0045789C">
      <w:pPr>
        <w:pStyle w:val="ListParagraph"/>
        <w:numPr>
          <w:ilvl w:val="0"/>
          <w:numId w:val="37"/>
        </w:numPr>
        <w:ind w:left="284" w:hanging="284"/>
        <w:rPr>
          <w:b/>
          <w:bCs/>
        </w:rPr>
      </w:pPr>
      <w:r w:rsidRPr="0045789C">
        <w:rPr>
          <w:b/>
          <w:bCs/>
        </w:rPr>
        <w:t>Build public trust in CDC data use</w:t>
      </w:r>
    </w:p>
    <w:p w14:paraId="5C88C550" w14:textId="5E14E347" w:rsidR="0045789C" w:rsidRDefault="0045789C" w:rsidP="0045789C">
      <w:r>
        <w:t xml:space="preserve">These activities will support improvements in transparency about to how the CDC will use data. We want to ensure that we use and report on data use in line with public expectations. Evidence for public health decisions will be publicly accessible and clearly communicated for all population groups. </w:t>
      </w:r>
    </w:p>
    <w:p w14:paraId="060684D4" w14:textId="269430C3" w:rsidR="0045789C" w:rsidRDefault="0045789C" w:rsidP="0045789C">
      <w:r>
        <w:t xml:space="preserve">The results from these activities will ensure we can use data to supply fast and transparent insights into public health concerns. </w:t>
      </w:r>
    </w:p>
    <w:p w14:paraId="095C7E12" w14:textId="432268AC" w:rsidR="0045789C" w:rsidRDefault="0045789C" w:rsidP="004530AD">
      <w:r w:rsidRPr="004530AD">
        <w:t>This will ensure that we can rapidly know about public health issues of concern, deliver informed and evidence-based advice on public health actions, maintain trust with the Australian population and stakeholders, and improve the health of Australians.</w:t>
      </w:r>
    </w:p>
    <w:p w14:paraId="6B4257F6" w14:textId="77777777" w:rsidR="004530AD" w:rsidRPr="004530AD" w:rsidRDefault="004530AD" w:rsidP="004530AD">
      <w:pPr>
        <w:pStyle w:val="Heading1"/>
        <w:rPr>
          <w:b w:val="0"/>
          <w:bCs/>
          <w:sz w:val="36"/>
          <w:szCs w:val="72"/>
        </w:rPr>
      </w:pPr>
      <w:r w:rsidRPr="004530AD">
        <w:rPr>
          <w:b w:val="0"/>
          <w:bCs/>
          <w:sz w:val="36"/>
          <w:szCs w:val="72"/>
        </w:rPr>
        <w:t>Glossary</w:t>
      </w:r>
    </w:p>
    <w:tbl>
      <w:tblPr>
        <w:tblW w:w="0" w:type="auto"/>
        <w:tblInd w:w="-8" w:type="dxa"/>
        <w:tblCellMar>
          <w:left w:w="0" w:type="dxa"/>
          <w:right w:w="0" w:type="dxa"/>
        </w:tblCellMar>
        <w:tblLook w:val="0000" w:firstRow="0" w:lastRow="0" w:firstColumn="0" w:lastColumn="0" w:noHBand="0" w:noVBand="0"/>
      </w:tblPr>
      <w:tblGrid>
        <w:gridCol w:w="2374"/>
        <w:gridCol w:w="4561"/>
      </w:tblGrid>
      <w:tr w:rsidR="004530AD" w14:paraId="739E8776" w14:textId="77777777" w:rsidTr="004530AD">
        <w:trPr>
          <w:trHeight w:val="60"/>
          <w:tblHeader/>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6B356576" w14:textId="77777777" w:rsidR="004530AD" w:rsidRPr="004530AD" w:rsidRDefault="004530AD" w:rsidP="004530AD">
            <w:pPr>
              <w:pStyle w:val="NoSpacing"/>
              <w:rPr>
                <w:b/>
                <w:bCs/>
              </w:rPr>
            </w:pPr>
            <w:r w:rsidRPr="004530AD">
              <w:rPr>
                <w:b/>
                <w:bCs/>
              </w:rPr>
              <w:t>TERM</w:t>
            </w: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7A824BB0" w14:textId="77777777" w:rsidR="004530AD" w:rsidRPr="004530AD" w:rsidRDefault="004530AD" w:rsidP="004530AD">
            <w:pPr>
              <w:pStyle w:val="NoSpacing"/>
              <w:rPr>
                <w:b/>
                <w:bCs/>
              </w:rPr>
            </w:pPr>
            <w:r w:rsidRPr="004530AD">
              <w:rPr>
                <w:b/>
                <w:bCs/>
              </w:rPr>
              <w:t>DEFINITION </w:t>
            </w:r>
          </w:p>
        </w:tc>
      </w:tr>
      <w:tr w:rsidR="004530AD" w14:paraId="3B5CC0FE" w14:textId="77777777" w:rsidTr="004530AD">
        <w:trPr>
          <w:trHeight w:val="60"/>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23BFA2B2" w14:textId="77777777" w:rsidR="004530AD" w:rsidRPr="004530AD" w:rsidRDefault="004530AD" w:rsidP="004530AD">
            <w:pPr>
              <w:pStyle w:val="NoSpacing"/>
            </w:pPr>
            <w:r w:rsidRPr="004530AD">
              <w:t>DATA LINKAGE</w:t>
            </w:r>
            <w:r w:rsidRPr="004530AD">
              <w:br/>
              <w:t>(or PERSON-LEVEL RECORD LINKAGE)  </w:t>
            </w: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09D13EA4" w14:textId="77777777" w:rsidR="004530AD" w:rsidRPr="004530AD" w:rsidRDefault="004530AD" w:rsidP="004530AD">
            <w:pPr>
              <w:pStyle w:val="NoSpacing"/>
            </w:pPr>
            <w:r w:rsidRPr="004530AD">
              <w:t>Data linkage refers to the joining (linking) of information from two or more different data sources believed to relate to the same entity (for example, to the same individual or the same institution). This linkage can yield more information about the entity and, in certain cases, give a time sequence. The term is synonymous with ‘record linkage’ and ‘data integration’. </w:t>
            </w:r>
          </w:p>
        </w:tc>
      </w:tr>
      <w:tr w:rsidR="004530AD" w14:paraId="3B30E6B8" w14:textId="77777777" w:rsidTr="004530AD">
        <w:trPr>
          <w:trHeight w:val="60"/>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70649894" w14:textId="77777777" w:rsidR="004530AD" w:rsidRPr="004530AD" w:rsidRDefault="004530AD" w:rsidP="004530AD">
            <w:pPr>
              <w:pStyle w:val="NoSpacing"/>
            </w:pPr>
            <w:r w:rsidRPr="004530AD">
              <w:t>INTEROPERABILITY </w:t>
            </w:r>
          </w:p>
          <w:p w14:paraId="5E3E4A78" w14:textId="77777777" w:rsidR="004530AD" w:rsidRPr="004530AD" w:rsidRDefault="004530AD" w:rsidP="004530AD">
            <w:pPr>
              <w:pStyle w:val="NoSpacing"/>
            </w:pP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16BBBC3B" w14:textId="77777777" w:rsidR="004530AD" w:rsidRPr="004530AD" w:rsidRDefault="004530AD" w:rsidP="004530AD">
            <w:pPr>
              <w:pStyle w:val="NoSpacing"/>
            </w:pPr>
            <w:r w:rsidRPr="004530AD">
              <w:t>Interoperability refers to the ability of different information systems, devices and applications (‘systems’) to access, exchange, integrate and use data in a coordinated way. </w:t>
            </w:r>
          </w:p>
        </w:tc>
      </w:tr>
      <w:tr w:rsidR="004530AD" w14:paraId="6BF890EF" w14:textId="77777777" w:rsidTr="004530AD">
        <w:trPr>
          <w:trHeight w:val="60"/>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5E0FFF07" w14:textId="77777777" w:rsidR="004530AD" w:rsidRPr="004530AD" w:rsidRDefault="004530AD" w:rsidP="004530AD">
            <w:pPr>
              <w:pStyle w:val="NoSpacing"/>
            </w:pPr>
            <w:r w:rsidRPr="004530AD">
              <w:t>METADATA</w:t>
            </w: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26B795BF" w14:textId="77777777" w:rsidR="004530AD" w:rsidRPr="004530AD" w:rsidRDefault="004530AD" w:rsidP="004530AD">
            <w:pPr>
              <w:pStyle w:val="NoSpacing"/>
            </w:pPr>
            <w:r w:rsidRPr="004530AD">
              <w:t>Metadata (or data about data) refers to information about how the data are defined, collected, and structured. Metadata provides meaning and context which helps to interpret the data.  </w:t>
            </w:r>
          </w:p>
        </w:tc>
      </w:tr>
      <w:tr w:rsidR="004530AD" w14:paraId="473C103A" w14:textId="77777777" w:rsidTr="004530AD">
        <w:trPr>
          <w:trHeight w:val="60"/>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39DD04C7" w14:textId="77777777" w:rsidR="004530AD" w:rsidRPr="004530AD" w:rsidRDefault="004530AD" w:rsidP="004530AD">
            <w:pPr>
              <w:pStyle w:val="NoSpacing"/>
            </w:pPr>
            <w:r w:rsidRPr="004530AD">
              <w:t>MULTIDIRECTIONAL DATA SHARING</w:t>
            </w:r>
          </w:p>
          <w:p w14:paraId="6F0D2C1E" w14:textId="77777777" w:rsidR="004530AD" w:rsidRPr="004530AD" w:rsidRDefault="004530AD" w:rsidP="004530AD">
            <w:pPr>
              <w:pStyle w:val="NoSpacing"/>
            </w:pP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67627554" w14:textId="77777777" w:rsidR="004530AD" w:rsidRPr="004530AD" w:rsidRDefault="004530AD" w:rsidP="004530AD">
            <w:pPr>
              <w:pStyle w:val="NoSpacing"/>
            </w:pPr>
            <w:r w:rsidRPr="004530AD">
              <w:t>Multidirectional data sharing refers to the sharing of data in back and forth. It describes a mutual benefit to the data sharing, in which both parties will have access to the data for public health purposes.</w:t>
            </w:r>
          </w:p>
        </w:tc>
      </w:tr>
      <w:tr w:rsidR="004530AD" w14:paraId="0FBA1DEC" w14:textId="77777777" w:rsidTr="004530AD">
        <w:trPr>
          <w:trHeight w:val="60"/>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66474C72" w14:textId="77777777" w:rsidR="004530AD" w:rsidRPr="004530AD" w:rsidRDefault="004530AD" w:rsidP="004530AD">
            <w:pPr>
              <w:pStyle w:val="NoSpacing"/>
            </w:pPr>
            <w:r w:rsidRPr="004530AD">
              <w:t>DATA RESOURCES</w:t>
            </w: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584CA746" w14:textId="77777777" w:rsidR="004530AD" w:rsidRPr="004530AD" w:rsidRDefault="004530AD" w:rsidP="004530AD">
            <w:pPr>
              <w:pStyle w:val="NoSpacing"/>
            </w:pPr>
            <w:r w:rsidRPr="004530AD">
              <w:t>Data resources refer to data, data systems, databases, and data collections.</w:t>
            </w:r>
          </w:p>
        </w:tc>
      </w:tr>
      <w:tr w:rsidR="004530AD" w14:paraId="5273C9EB" w14:textId="77777777" w:rsidTr="004530AD">
        <w:trPr>
          <w:trHeight w:val="60"/>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721A9304" w14:textId="77777777" w:rsidR="004530AD" w:rsidRPr="004530AD" w:rsidRDefault="004530AD" w:rsidP="004530AD">
            <w:pPr>
              <w:pStyle w:val="NoSpacing"/>
            </w:pPr>
            <w:r w:rsidRPr="004530AD">
              <w:t>NOVEL DATA SOURCES</w:t>
            </w: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0086E7B5" w14:textId="77777777" w:rsidR="004530AD" w:rsidRPr="004530AD" w:rsidRDefault="004530AD" w:rsidP="004530AD">
            <w:pPr>
              <w:pStyle w:val="NoSpacing"/>
            </w:pPr>
            <w:r w:rsidRPr="004530AD">
              <w:t>Novel data sources are new data which may arise (for example a new pathogen).</w:t>
            </w:r>
          </w:p>
        </w:tc>
      </w:tr>
      <w:tr w:rsidR="004530AD" w14:paraId="71E7B698" w14:textId="77777777" w:rsidTr="004530AD">
        <w:trPr>
          <w:trHeight w:val="60"/>
        </w:trPr>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3F161AEF" w14:textId="77777777" w:rsidR="004530AD" w:rsidRPr="004530AD" w:rsidRDefault="004530AD" w:rsidP="004530AD">
            <w:pPr>
              <w:pStyle w:val="NoSpacing"/>
            </w:pPr>
            <w:r w:rsidRPr="004530AD">
              <w:t>ARCHITECTURE</w:t>
            </w:r>
          </w:p>
        </w:tc>
        <w:tc>
          <w:tcPr>
            <w:tcW w:w="0" w:type="auto"/>
            <w:tcBorders>
              <w:top w:val="single" w:sz="4" w:space="0" w:color="033636"/>
              <w:left w:val="single" w:sz="6" w:space="0" w:color="000000"/>
              <w:bottom w:val="single" w:sz="4" w:space="0" w:color="033636"/>
              <w:right w:val="single" w:sz="6" w:space="0" w:color="000000"/>
            </w:tcBorders>
            <w:tcMar>
              <w:top w:w="57" w:type="dxa"/>
              <w:left w:w="113" w:type="dxa"/>
              <w:bottom w:w="57" w:type="dxa"/>
              <w:right w:w="113" w:type="dxa"/>
            </w:tcMar>
          </w:tcPr>
          <w:p w14:paraId="4E140A9B" w14:textId="77777777" w:rsidR="004530AD" w:rsidRPr="004530AD" w:rsidRDefault="004530AD" w:rsidP="004530AD">
            <w:pPr>
              <w:pStyle w:val="NoSpacing"/>
            </w:pPr>
            <w:r w:rsidRPr="004530AD">
              <w:t>Data architecture consist of models, policies, rules, and standards that govern which data is collected and how it is stored, arranged, integrated, and put to use in data systems</w:t>
            </w:r>
          </w:p>
        </w:tc>
      </w:tr>
    </w:tbl>
    <w:p w14:paraId="61682ABD" w14:textId="2A826A55" w:rsidR="004530AD" w:rsidRPr="004530AD" w:rsidRDefault="004530AD" w:rsidP="004530AD"/>
    <w:sectPr w:rsidR="004530AD" w:rsidRPr="004530AD" w:rsidSect="004530AD">
      <w:headerReference w:type="first" r:id="rId16"/>
      <w:type w:val="continuous"/>
      <w:pgSz w:w="16838" w:h="11906" w:orient="landscape" w:code="9"/>
      <w:pgMar w:top="-879" w:right="1134" w:bottom="1219" w:left="1418" w:header="563" w:footer="370" w:gutter="0"/>
      <w:cols w:num="2" w:space="4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5AFE1" w14:textId="77777777" w:rsidR="00E63029" w:rsidRDefault="00E63029" w:rsidP="001D0AFC">
      <w:r>
        <w:separator/>
      </w:r>
    </w:p>
    <w:p w14:paraId="525928D9" w14:textId="77777777" w:rsidR="00E63029" w:rsidRDefault="00E63029"/>
    <w:p w14:paraId="4180EC11" w14:textId="77777777" w:rsidR="00E63029" w:rsidRDefault="00E63029"/>
  </w:endnote>
  <w:endnote w:type="continuationSeparator" w:id="0">
    <w:p w14:paraId="68786E0C" w14:textId="77777777" w:rsidR="00E63029" w:rsidRDefault="00E63029" w:rsidP="001D0AFC">
      <w:r>
        <w:continuationSeparator/>
      </w:r>
    </w:p>
    <w:p w14:paraId="6F22AB8E" w14:textId="77777777" w:rsidR="00E63029" w:rsidRDefault="00E63029"/>
    <w:p w14:paraId="201C67B1" w14:textId="77777777" w:rsidR="00E63029" w:rsidRDefault="00E63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nrope ExtraLight">
    <w:altName w:val="Manrope ExtraLight"/>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F94F" w14:textId="59B1279B" w:rsidR="00544F2E" w:rsidRPr="004530AD" w:rsidRDefault="00CA4299" w:rsidP="004530AD">
    <w:pPr>
      <w:pStyle w:val="Footer"/>
      <w:jc w:val="right"/>
      <w:rPr>
        <w:b/>
        <w:bCs/>
        <w:sz w:val="20"/>
        <w:szCs w:val="22"/>
      </w:rPr>
    </w:pPr>
    <w:r w:rsidRPr="004530AD">
      <w:rPr>
        <w:b/>
        <w:bCs/>
        <w:sz w:val="20"/>
        <w:szCs w:val="22"/>
      </w:rPr>
      <w:t>cdc.gov.au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7AA2" w14:textId="77777777" w:rsidR="00E63029" w:rsidRDefault="00E63029" w:rsidP="001D0AFC">
      <w:r>
        <w:separator/>
      </w:r>
    </w:p>
  </w:footnote>
  <w:footnote w:type="continuationSeparator" w:id="0">
    <w:p w14:paraId="7E2DC83E" w14:textId="77777777" w:rsidR="00E63029" w:rsidRDefault="00E63029" w:rsidP="001D0AFC">
      <w:r>
        <w:continuationSeparator/>
      </w:r>
    </w:p>
  </w:footnote>
  <w:footnote w:type="continuationNotice" w:id="1">
    <w:p w14:paraId="57A99D63" w14:textId="77777777" w:rsidR="00E63029" w:rsidRDefault="00E6302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1A8B" w14:textId="6F4CD866" w:rsidR="00011283" w:rsidRDefault="00011283" w:rsidP="00011283">
    <w:pPr>
      <w:pStyle w:val="Heade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045E" w14:textId="77777777" w:rsidR="004530AD" w:rsidRPr="004530AD" w:rsidRDefault="004530AD" w:rsidP="004530AD">
    <w:pPr>
      <w:pStyle w:val="BasicParagraph"/>
      <w:spacing w:before="480"/>
      <w:jc w:val="right"/>
      <w:rPr>
        <w:rFonts w:asciiTheme="majorHAnsi" w:hAnsiTheme="majorHAnsi" w:cstheme="majorHAnsi"/>
        <w:b/>
        <w:bCs/>
        <w:color w:val="033636"/>
        <w:sz w:val="48"/>
        <w:szCs w:val="48"/>
      </w:rPr>
    </w:pPr>
    <w:r w:rsidRPr="004530AD">
      <w:rPr>
        <w:rFonts w:asciiTheme="majorHAnsi" w:hAnsiTheme="majorHAnsi" w:cstheme="majorHAnsi"/>
        <w:b/>
        <w:bCs/>
        <w:color w:val="033636"/>
        <w:sz w:val="48"/>
        <w:szCs w:val="48"/>
      </w:rPr>
      <w:t>Preliminary Data Strategy on a page</w:t>
    </w:r>
  </w:p>
  <w:p w14:paraId="6EC042D3" w14:textId="01B78A25" w:rsidR="00544F2E" w:rsidRPr="00CA4299" w:rsidRDefault="00CA4299" w:rsidP="00690DA8">
    <w:pPr>
      <w:pStyle w:val="Header"/>
      <w:spacing w:after="3200"/>
    </w:pPr>
    <w:r>
      <w:rPr>
        <w:noProof/>
      </w:rPr>
      <w:drawing>
        <wp:anchor distT="0" distB="0" distL="114300" distR="114300" simplePos="0" relativeHeight="251660288" behindDoc="0" locked="0" layoutInCell="1" allowOverlap="1" wp14:anchorId="37BC004E" wp14:editId="793B4C15">
          <wp:simplePos x="0" y="0"/>
          <wp:positionH relativeFrom="page">
            <wp:posOffset>774065</wp:posOffset>
          </wp:positionH>
          <wp:positionV relativeFrom="page">
            <wp:posOffset>577342</wp:posOffset>
          </wp:positionV>
          <wp:extent cx="2410560" cy="648505"/>
          <wp:effectExtent l="0" t="0" r="8890" b="0"/>
          <wp:wrapNone/>
          <wp:docPr id="923825900" name="Picture 923825900" descr="Australian Government, Australian Centre for Disease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64168" name="Picture 603164168" descr="Australian Government, Australian Centre for Disease Control."/>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10560" cy="6485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B43A" w14:textId="56398890" w:rsidR="0045789C" w:rsidRPr="00CA4299" w:rsidRDefault="0045789C" w:rsidP="00690DA8">
    <w:pPr>
      <w:pStyle w:val="Header"/>
      <w:spacing w:after="3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EE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488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C23F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614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1E04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C4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2D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EBA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F413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AAE68A"/>
    <w:lvl w:ilvl="0">
      <w:start w:val="1"/>
      <w:numFmt w:val="bullet"/>
      <w:lvlText w:val="•"/>
      <w:lvlJc w:val="left"/>
      <w:pPr>
        <w:ind w:left="360" w:hanging="360"/>
      </w:pPr>
      <w:rPr>
        <w:rFonts w:ascii="Corbel" w:hAnsi="Corbel" w:hint="default"/>
        <w:color w:val="033636" w:themeColor="accent1"/>
      </w:rPr>
    </w:lvl>
  </w:abstractNum>
  <w:abstractNum w:abstractNumId="10" w15:restartNumberingAfterBreak="0">
    <w:nsid w:val="061220F2"/>
    <w:multiLevelType w:val="hybridMultilevel"/>
    <w:tmpl w:val="716A49EE"/>
    <w:lvl w:ilvl="0" w:tplc="B4C6A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365330"/>
    <w:multiLevelType w:val="hybridMultilevel"/>
    <w:tmpl w:val="6452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82D2E"/>
    <w:multiLevelType w:val="hybridMultilevel"/>
    <w:tmpl w:val="207E0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B3D9D"/>
    <w:multiLevelType w:val="hybridMultilevel"/>
    <w:tmpl w:val="E916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675103"/>
    <w:multiLevelType w:val="hybridMultilevel"/>
    <w:tmpl w:val="68FE4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77E30"/>
    <w:multiLevelType w:val="multilevel"/>
    <w:tmpl w:val="B012312E"/>
    <w:lvl w:ilvl="0">
      <w:start w:val="1"/>
      <w:numFmt w:val="lowerLetter"/>
      <w:pStyle w:val="List"/>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16" w15:restartNumberingAfterBreak="0">
    <w:nsid w:val="681546A7"/>
    <w:multiLevelType w:val="multilevel"/>
    <w:tmpl w:val="AA482E40"/>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141D05"/>
    <w:multiLevelType w:val="hybridMultilevel"/>
    <w:tmpl w:val="072C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13F86"/>
    <w:multiLevelType w:val="multilevel"/>
    <w:tmpl w:val="4A6A277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787E4D88"/>
    <w:multiLevelType w:val="multilevel"/>
    <w:tmpl w:val="DF0C56AE"/>
    <w:lvl w:ilvl="0">
      <w:start w:val="1"/>
      <w:numFmt w:val="bullet"/>
      <w:pStyle w:val="ListBullet"/>
      <w:lvlText w:val=""/>
      <w:lvlJc w:val="left"/>
      <w:pPr>
        <w:ind w:left="360" w:hanging="360"/>
      </w:pPr>
      <w:rPr>
        <w:rFonts w:ascii="Symbol" w:hAnsi="Symbol" w:hint="default"/>
        <w:color w:val="033636" w:themeColor="accent1"/>
      </w:rPr>
    </w:lvl>
    <w:lvl w:ilvl="1">
      <w:start w:val="1"/>
      <w:numFmt w:val="bullet"/>
      <w:pStyle w:val="ListBullet2"/>
      <w:lvlText w:val="–"/>
      <w:lvlJc w:val="left"/>
      <w:pPr>
        <w:ind w:left="720" w:hanging="360"/>
      </w:pPr>
      <w:rPr>
        <w:rFonts w:ascii="Arial" w:hAnsi="Arial" w:hint="default"/>
        <w:color w:val="033636" w:themeColor="accent1"/>
      </w:rPr>
    </w:lvl>
    <w:lvl w:ilvl="2">
      <w:start w:val="1"/>
      <w:numFmt w:val="bullet"/>
      <w:pStyle w:val="ListBullet3"/>
      <w:lvlText w:val="–"/>
      <w:lvlJc w:val="left"/>
      <w:pPr>
        <w:ind w:left="1080" w:hanging="360"/>
      </w:pPr>
      <w:rPr>
        <w:rFonts w:ascii="Arial" w:hAnsi="Arial" w:hint="default"/>
        <w:color w:val="033636" w:themeColor="accent1"/>
      </w:rPr>
    </w:lvl>
    <w:lvl w:ilvl="3">
      <w:start w:val="1"/>
      <w:numFmt w:val="bullet"/>
      <w:pStyle w:val="ListBullet4"/>
      <w:lvlText w:val="–"/>
      <w:lvlJc w:val="left"/>
      <w:pPr>
        <w:ind w:left="1440" w:hanging="360"/>
      </w:pPr>
      <w:rPr>
        <w:rFonts w:ascii="Arial" w:hAnsi="Arial" w:hint="default"/>
        <w:color w:val="033636" w:themeColor="accent1"/>
      </w:rPr>
    </w:lvl>
    <w:lvl w:ilvl="4">
      <w:start w:val="1"/>
      <w:numFmt w:val="bullet"/>
      <w:pStyle w:val="ListBullet5"/>
      <w:lvlText w:val="–"/>
      <w:lvlJc w:val="left"/>
      <w:pPr>
        <w:ind w:left="1800" w:hanging="360"/>
      </w:pPr>
      <w:rPr>
        <w:rFonts w:ascii="Arial" w:hAnsi="Arial" w:hint="default"/>
        <w:color w:val="033636" w:themeColor="accent1"/>
      </w:rPr>
    </w:lvl>
    <w:lvl w:ilvl="5">
      <w:start w:val="1"/>
      <w:numFmt w:val="bullet"/>
      <w:lvlText w:val="–"/>
      <w:lvlJc w:val="left"/>
      <w:pPr>
        <w:ind w:left="2160" w:hanging="360"/>
      </w:pPr>
      <w:rPr>
        <w:rFonts w:ascii="Arial" w:hAnsi="Arial" w:hint="default"/>
        <w:color w:val="033636" w:themeColor="accent1"/>
      </w:rPr>
    </w:lvl>
    <w:lvl w:ilvl="6">
      <w:start w:val="1"/>
      <w:numFmt w:val="bullet"/>
      <w:lvlText w:val="–"/>
      <w:lvlJc w:val="left"/>
      <w:pPr>
        <w:ind w:left="2520" w:hanging="360"/>
      </w:pPr>
      <w:rPr>
        <w:rFonts w:ascii="Arial" w:hAnsi="Arial" w:hint="default"/>
        <w:color w:val="033636" w:themeColor="accent1"/>
      </w:rPr>
    </w:lvl>
    <w:lvl w:ilvl="7">
      <w:start w:val="1"/>
      <w:numFmt w:val="bullet"/>
      <w:lvlText w:val="–"/>
      <w:lvlJc w:val="left"/>
      <w:pPr>
        <w:ind w:left="2880" w:hanging="360"/>
      </w:pPr>
      <w:rPr>
        <w:rFonts w:ascii="Arial" w:hAnsi="Arial" w:hint="default"/>
        <w:color w:val="033636" w:themeColor="accent1"/>
      </w:rPr>
    </w:lvl>
    <w:lvl w:ilvl="8">
      <w:start w:val="1"/>
      <w:numFmt w:val="bullet"/>
      <w:lvlText w:val="–"/>
      <w:lvlJc w:val="left"/>
      <w:pPr>
        <w:ind w:left="3240" w:hanging="360"/>
      </w:pPr>
      <w:rPr>
        <w:rFonts w:ascii="Arial" w:hAnsi="Arial" w:hint="default"/>
        <w:color w:val="033636" w:themeColor="accent1"/>
      </w:rPr>
    </w:lvl>
  </w:abstractNum>
  <w:num w:numId="1" w16cid:durableId="1902708337">
    <w:abstractNumId w:val="9"/>
  </w:num>
  <w:num w:numId="2" w16cid:durableId="1279488499">
    <w:abstractNumId w:val="9"/>
  </w:num>
  <w:num w:numId="3" w16cid:durableId="145515002">
    <w:abstractNumId w:val="8"/>
  </w:num>
  <w:num w:numId="4" w16cid:durableId="1547065795">
    <w:abstractNumId w:val="8"/>
  </w:num>
  <w:num w:numId="5" w16cid:durableId="931938183">
    <w:abstractNumId w:val="9"/>
  </w:num>
  <w:num w:numId="6" w16cid:durableId="578448785">
    <w:abstractNumId w:val="8"/>
  </w:num>
  <w:num w:numId="7" w16cid:durableId="762726672">
    <w:abstractNumId w:val="19"/>
  </w:num>
  <w:num w:numId="8" w16cid:durableId="303463613">
    <w:abstractNumId w:val="7"/>
  </w:num>
  <w:num w:numId="9" w16cid:durableId="1597790347">
    <w:abstractNumId w:val="19"/>
  </w:num>
  <w:num w:numId="10" w16cid:durableId="729111695">
    <w:abstractNumId w:val="6"/>
  </w:num>
  <w:num w:numId="11" w16cid:durableId="1487014803">
    <w:abstractNumId w:val="19"/>
  </w:num>
  <w:num w:numId="12" w16cid:durableId="1341352775">
    <w:abstractNumId w:val="5"/>
  </w:num>
  <w:num w:numId="13" w16cid:durableId="1448961539">
    <w:abstractNumId w:val="19"/>
  </w:num>
  <w:num w:numId="14" w16cid:durableId="406607982">
    <w:abstractNumId w:val="4"/>
  </w:num>
  <w:num w:numId="15" w16cid:durableId="434252276">
    <w:abstractNumId w:val="19"/>
  </w:num>
  <w:num w:numId="16" w16cid:durableId="1607034629">
    <w:abstractNumId w:val="16"/>
  </w:num>
  <w:num w:numId="17" w16cid:durableId="658193195">
    <w:abstractNumId w:val="3"/>
  </w:num>
  <w:num w:numId="18" w16cid:durableId="1416128797">
    <w:abstractNumId w:val="16"/>
  </w:num>
  <w:num w:numId="19" w16cid:durableId="1445928118">
    <w:abstractNumId w:val="2"/>
  </w:num>
  <w:num w:numId="20" w16cid:durableId="1890534326">
    <w:abstractNumId w:val="16"/>
  </w:num>
  <w:num w:numId="21" w16cid:durableId="30113472">
    <w:abstractNumId w:val="1"/>
  </w:num>
  <w:num w:numId="22" w16cid:durableId="491608180">
    <w:abstractNumId w:val="16"/>
  </w:num>
  <w:num w:numId="23" w16cid:durableId="1250117795">
    <w:abstractNumId w:val="0"/>
  </w:num>
  <w:num w:numId="24" w16cid:durableId="1637102831">
    <w:abstractNumId w:val="16"/>
  </w:num>
  <w:num w:numId="25" w16cid:durableId="186523040">
    <w:abstractNumId w:val="15"/>
  </w:num>
  <w:num w:numId="26" w16cid:durableId="328871865">
    <w:abstractNumId w:val="10"/>
  </w:num>
  <w:num w:numId="27" w16cid:durableId="715199826">
    <w:abstractNumId w:val="18"/>
  </w:num>
  <w:num w:numId="28" w16cid:durableId="1088766793">
    <w:abstractNumId w:val="19"/>
  </w:num>
  <w:num w:numId="29" w16cid:durableId="1226061830">
    <w:abstractNumId w:val="19"/>
  </w:num>
  <w:num w:numId="30" w16cid:durableId="537856424">
    <w:abstractNumId w:val="19"/>
  </w:num>
  <w:num w:numId="31" w16cid:durableId="578296128">
    <w:abstractNumId w:val="19"/>
  </w:num>
  <w:num w:numId="32" w16cid:durableId="1741051169">
    <w:abstractNumId w:val="19"/>
  </w:num>
  <w:num w:numId="33" w16cid:durableId="1654796300">
    <w:abstractNumId w:val="17"/>
  </w:num>
  <w:num w:numId="34" w16cid:durableId="1754232322">
    <w:abstractNumId w:val="11"/>
  </w:num>
  <w:num w:numId="35" w16cid:durableId="344133713">
    <w:abstractNumId w:val="14"/>
  </w:num>
  <w:num w:numId="36" w16cid:durableId="100731310">
    <w:abstractNumId w:val="13"/>
  </w:num>
  <w:num w:numId="37" w16cid:durableId="1350716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57"/>
  <w:defaultTableStyle w:val="DepartmentofHealthtable"/>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zNjcyNTezMLI0MjdS0lEKTi0uzszPAykwrgUAl714LiwAAAA="/>
  </w:docVars>
  <w:rsids>
    <w:rsidRoot w:val="0064638E"/>
    <w:rsid w:val="00011283"/>
    <w:rsid w:val="000136A5"/>
    <w:rsid w:val="00013E33"/>
    <w:rsid w:val="00015555"/>
    <w:rsid w:val="0002234B"/>
    <w:rsid w:val="00024813"/>
    <w:rsid w:val="000369EA"/>
    <w:rsid w:val="00036FE5"/>
    <w:rsid w:val="00037DE5"/>
    <w:rsid w:val="00041055"/>
    <w:rsid w:val="00056BC0"/>
    <w:rsid w:val="00061B61"/>
    <w:rsid w:val="000635BC"/>
    <w:rsid w:val="000760F4"/>
    <w:rsid w:val="000A1EF9"/>
    <w:rsid w:val="000A2E7B"/>
    <w:rsid w:val="000A6E51"/>
    <w:rsid w:val="000B5598"/>
    <w:rsid w:val="000B5729"/>
    <w:rsid w:val="000D6195"/>
    <w:rsid w:val="000D7D92"/>
    <w:rsid w:val="000F2EDC"/>
    <w:rsid w:val="000F6579"/>
    <w:rsid w:val="000F717D"/>
    <w:rsid w:val="00101941"/>
    <w:rsid w:val="001057B1"/>
    <w:rsid w:val="00106F60"/>
    <w:rsid w:val="001141D0"/>
    <w:rsid w:val="00117894"/>
    <w:rsid w:val="0012062F"/>
    <w:rsid w:val="00136B50"/>
    <w:rsid w:val="001374AE"/>
    <w:rsid w:val="00137D00"/>
    <w:rsid w:val="001425A7"/>
    <w:rsid w:val="001511C9"/>
    <w:rsid w:val="00152AC1"/>
    <w:rsid w:val="00153AEF"/>
    <w:rsid w:val="00154C1A"/>
    <w:rsid w:val="00156042"/>
    <w:rsid w:val="00157CE7"/>
    <w:rsid w:val="001659CB"/>
    <w:rsid w:val="00165A1E"/>
    <w:rsid w:val="00173136"/>
    <w:rsid w:val="00191178"/>
    <w:rsid w:val="00192329"/>
    <w:rsid w:val="00193699"/>
    <w:rsid w:val="00197E66"/>
    <w:rsid w:val="001A03FE"/>
    <w:rsid w:val="001B3928"/>
    <w:rsid w:val="001B7FA1"/>
    <w:rsid w:val="001C48D8"/>
    <w:rsid w:val="001C5149"/>
    <w:rsid w:val="001C52C2"/>
    <w:rsid w:val="001C64AD"/>
    <w:rsid w:val="001D0AFC"/>
    <w:rsid w:val="001E3A54"/>
    <w:rsid w:val="001E49C9"/>
    <w:rsid w:val="001E5108"/>
    <w:rsid w:val="001E5367"/>
    <w:rsid w:val="001E5F8E"/>
    <w:rsid w:val="00201134"/>
    <w:rsid w:val="00202C71"/>
    <w:rsid w:val="00210409"/>
    <w:rsid w:val="00226249"/>
    <w:rsid w:val="00230AEA"/>
    <w:rsid w:val="002320CE"/>
    <w:rsid w:val="00233385"/>
    <w:rsid w:val="00240C5D"/>
    <w:rsid w:val="002419AF"/>
    <w:rsid w:val="00242034"/>
    <w:rsid w:val="002422ED"/>
    <w:rsid w:val="00262769"/>
    <w:rsid w:val="002632B7"/>
    <w:rsid w:val="00264464"/>
    <w:rsid w:val="00272AAC"/>
    <w:rsid w:val="002776FA"/>
    <w:rsid w:val="00280E0C"/>
    <w:rsid w:val="00291082"/>
    <w:rsid w:val="00296ADC"/>
    <w:rsid w:val="00297CB5"/>
    <w:rsid w:val="002A1211"/>
    <w:rsid w:val="002A12DA"/>
    <w:rsid w:val="002A1929"/>
    <w:rsid w:val="002B16A7"/>
    <w:rsid w:val="002B6ACF"/>
    <w:rsid w:val="002C2769"/>
    <w:rsid w:val="002C2E1B"/>
    <w:rsid w:val="002C656C"/>
    <w:rsid w:val="002D2700"/>
    <w:rsid w:val="002D62CE"/>
    <w:rsid w:val="002D707D"/>
    <w:rsid w:val="002D7462"/>
    <w:rsid w:val="002E038B"/>
    <w:rsid w:val="002E1998"/>
    <w:rsid w:val="002E41A9"/>
    <w:rsid w:val="002F01B8"/>
    <w:rsid w:val="002F2993"/>
    <w:rsid w:val="002F6F32"/>
    <w:rsid w:val="003004FA"/>
    <w:rsid w:val="00303AC0"/>
    <w:rsid w:val="003233EA"/>
    <w:rsid w:val="00324944"/>
    <w:rsid w:val="003300BD"/>
    <w:rsid w:val="00337255"/>
    <w:rsid w:val="00337769"/>
    <w:rsid w:val="00340B67"/>
    <w:rsid w:val="003450AC"/>
    <w:rsid w:val="0036434E"/>
    <w:rsid w:val="00373F1E"/>
    <w:rsid w:val="0038729A"/>
    <w:rsid w:val="00394798"/>
    <w:rsid w:val="003A0210"/>
    <w:rsid w:val="003A68CB"/>
    <w:rsid w:val="003B551F"/>
    <w:rsid w:val="003D5D9E"/>
    <w:rsid w:val="003E1AC6"/>
    <w:rsid w:val="003E4D00"/>
    <w:rsid w:val="003F4678"/>
    <w:rsid w:val="004003DB"/>
    <w:rsid w:val="00400896"/>
    <w:rsid w:val="00401788"/>
    <w:rsid w:val="00411636"/>
    <w:rsid w:val="00416267"/>
    <w:rsid w:val="004265BE"/>
    <w:rsid w:val="00431975"/>
    <w:rsid w:val="0044217F"/>
    <w:rsid w:val="004530AD"/>
    <w:rsid w:val="0045789C"/>
    <w:rsid w:val="004624F7"/>
    <w:rsid w:val="004642D9"/>
    <w:rsid w:val="00464F3E"/>
    <w:rsid w:val="00467CE7"/>
    <w:rsid w:val="00485E58"/>
    <w:rsid w:val="004868FC"/>
    <w:rsid w:val="00497959"/>
    <w:rsid w:val="004A0ED4"/>
    <w:rsid w:val="004A58E5"/>
    <w:rsid w:val="004A6A7C"/>
    <w:rsid w:val="004C6084"/>
    <w:rsid w:val="004F16FA"/>
    <w:rsid w:val="004F2F5C"/>
    <w:rsid w:val="004F348B"/>
    <w:rsid w:val="00507DED"/>
    <w:rsid w:val="00511A02"/>
    <w:rsid w:val="005129AC"/>
    <w:rsid w:val="00512BE7"/>
    <w:rsid w:val="005138A5"/>
    <w:rsid w:val="005316C5"/>
    <w:rsid w:val="005410C1"/>
    <w:rsid w:val="00544F2E"/>
    <w:rsid w:val="005559C1"/>
    <w:rsid w:val="0056463F"/>
    <w:rsid w:val="005646CD"/>
    <w:rsid w:val="0056489B"/>
    <w:rsid w:val="00582037"/>
    <w:rsid w:val="00584EA0"/>
    <w:rsid w:val="00586756"/>
    <w:rsid w:val="00593C4E"/>
    <w:rsid w:val="00594996"/>
    <w:rsid w:val="00595909"/>
    <w:rsid w:val="005A22A5"/>
    <w:rsid w:val="005A647D"/>
    <w:rsid w:val="005B158F"/>
    <w:rsid w:val="005B1BD1"/>
    <w:rsid w:val="005B3A1A"/>
    <w:rsid w:val="005B5231"/>
    <w:rsid w:val="005C317B"/>
    <w:rsid w:val="005C3C53"/>
    <w:rsid w:val="005C3D26"/>
    <w:rsid w:val="005C76E3"/>
    <w:rsid w:val="005F4740"/>
    <w:rsid w:val="005F578C"/>
    <w:rsid w:val="005F59AA"/>
    <w:rsid w:val="0060327D"/>
    <w:rsid w:val="00603D3A"/>
    <w:rsid w:val="0060777F"/>
    <w:rsid w:val="00607D8E"/>
    <w:rsid w:val="00610149"/>
    <w:rsid w:val="00615E11"/>
    <w:rsid w:val="00616063"/>
    <w:rsid w:val="0062348C"/>
    <w:rsid w:val="006367D6"/>
    <w:rsid w:val="00640006"/>
    <w:rsid w:val="0064041E"/>
    <w:rsid w:val="00640B02"/>
    <w:rsid w:val="0064638E"/>
    <w:rsid w:val="00653026"/>
    <w:rsid w:val="0065754D"/>
    <w:rsid w:val="00664625"/>
    <w:rsid w:val="006818CB"/>
    <w:rsid w:val="00687FC3"/>
    <w:rsid w:val="006909B3"/>
    <w:rsid w:val="00690DA8"/>
    <w:rsid w:val="00691B1E"/>
    <w:rsid w:val="00693793"/>
    <w:rsid w:val="00693A71"/>
    <w:rsid w:val="006A3CDA"/>
    <w:rsid w:val="006A5AF7"/>
    <w:rsid w:val="006B0C33"/>
    <w:rsid w:val="006C2EEC"/>
    <w:rsid w:val="006C3EE5"/>
    <w:rsid w:val="006C4497"/>
    <w:rsid w:val="006C5BC4"/>
    <w:rsid w:val="006C643E"/>
    <w:rsid w:val="006D118B"/>
    <w:rsid w:val="006D2526"/>
    <w:rsid w:val="006D6392"/>
    <w:rsid w:val="006E546F"/>
    <w:rsid w:val="006E5981"/>
    <w:rsid w:val="006F0D69"/>
    <w:rsid w:val="006F7CB3"/>
    <w:rsid w:val="007023B2"/>
    <w:rsid w:val="0070784B"/>
    <w:rsid w:val="00710E53"/>
    <w:rsid w:val="00711370"/>
    <w:rsid w:val="007212D0"/>
    <w:rsid w:val="00732F33"/>
    <w:rsid w:val="00745B71"/>
    <w:rsid w:val="007531C4"/>
    <w:rsid w:val="00754945"/>
    <w:rsid w:val="00757257"/>
    <w:rsid w:val="007577DB"/>
    <w:rsid w:val="00760E66"/>
    <w:rsid w:val="00763AFC"/>
    <w:rsid w:val="0077668B"/>
    <w:rsid w:val="007776CE"/>
    <w:rsid w:val="00780046"/>
    <w:rsid w:val="0078133C"/>
    <w:rsid w:val="007819DD"/>
    <w:rsid w:val="007A63DD"/>
    <w:rsid w:val="007B5FB6"/>
    <w:rsid w:val="007B730B"/>
    <w:rsid w:val="007C68A4"/>
    <w:rsid w:val="007D1CC1"/>
    <w:rsid w:val="00802EAB"/>
    <w:rsid w:val="00803042"/>
    <w:rsid w:val="00806A1D"/>
    <w:rsid w:val="00813D71"/>
    <w:rsid w:val="00814EB6"/>
    <w:rsid w:val="00814EEE"/>
    <w:rsid w:val="00823B41"/>
    <w:rsid w:val="00826D89"/>
    <w:rsid w:val="00834459"/>
    <w:rsid w:val="00835736"/>
    <w:rsid w:val="00835D56"/>
    <w:rsid w:val="008520E2"/>
    <w:rsid w:val="00853537"/>
    <w:rsid w:val="00856163"/>
    <w:rsid w:val="008562F3"/>
    <w:rsid w:val="008603FF"/>
    <w:rsid w:val="00862D9B"/>
    <w:rsid w:val="00880DB4"/>
    <w:rsid w:val="0088797B"/>
    <w:rsid w:val="00896BFF"/>
    <w:rsid w:val="008A1F47"/>
    <w:rsid w:val="008C20AC"/>
    <w:rsid w:val="008C43D8"/>
    <w:rsid w:val="008D1C45"/>
    <w:rsid w:val="008D7966"/>
    <w:rsid w:val="008E0BDC"/>
    <w:rsid w:val="008E2748"/>
    <w:rsid w:val="008F4256"/>
    <w:rsid w:val="009042B2"/>
    <w:rsid w:val="009173AC"/>
    <w:rsid w:val="00932857"/>
    <w:rsid w:val="0093688A"/>
    <w:rsid w:val="00941F1E"/>
    <w:rsid w:val="0095480D"/>
    <w:rsid w:val="00976613"/>
    <w:rsid w:val="009939C2"/>
    <w:rsid w:val="009A7E7C"/>
    <w:rsid w:val="009B08C9"/>
    <w:rsid w:val="009C51DA"/>
    <w:rsid w:val="009D18FC"/>
    <w:rsid w:val="009D27F9"/>
    <w:rsid w:val="009D6BAB"/>
    <w:rsid w:val="009E0D5D"/>
    <w:rsid w:val="009E3ABE"/>
    <w:rsid w:val="009F1238"/>
    <w:rsid w:val="009F4403"/>
    <w:rsid w:val="00A002B2"/>
    <w:rsid w:val="00A05877"/>
    <w:rsid w:val="00A11010"/>
    <w:rsid w:val="00A124BD"/>
    <w:rsid w:val="00A237CC"/>
    <w:rsid w:val="00A30CA2"/>
    <w:rsid w:val="00A379D0"/>
    <w:rsid w:val="00A40702"/>
    <w:rsid w:val="00A41D2C"/>
    <w:rsid w:val="00A438DA"/>
    <w:rsid w:val="00A45CA9"/>
    <w:rsid w:val="00A53522"/>
    <w:rsid w:val="00A554CC"/>
    <w:rsid w:val="00A564A3"/>
    <w:rsid w:val="00A60798"/>
    <w:rsid w:val="00A72917"/>
    <w:rsid w:val="00A738DB"/>
    <w:rsid w:val="00A76331"/>
    <w:rsid w:val="00A80C22"/>
    <w:rsid w:val="00A91389"/>
    <w:rsid w:val="00A97EE7"/>
    <w:rsid w:val="00AA20B8"/>
    <w:rsid w:val="00AB0D0F"/>
    <w:rsid w:val="00AB3114"/>
    <w:rsid w:val="00AB3E03"/>
    <w:rsid w:val="00AC2041"/>
    <w:rsid w:val="00AC71C9"/>
    <w:rsid w:val="00AD374F"/>
    <w:rsid w:val="00AE5EDF"/>
    <w:rsid w:val="00AE6670"/>
    <w:rsid w:val="00AF74B0"/>
    <w:rsid w:val="00B014AA"/>
    <w:rsid w:val="00B0201E"/>
    <w:rsid w:val="00B0751F"/>
    <w:rsid w:val="00B23442"/>
    <w:rsid w:val="00B36484"/>
    <w:rsid w:val="00B543B5"/>
    <w:rsid w:val="00B67DE1"/>
    <w:rsid w:val="00B72486"/>
    <w:rsid w:val="00B81FB3"/>
    <w:rsid w:val="00B8377D"/>
    <w:rsid w:val="00B93D2E"/>
    <w:rsid w:val="00BA6AD7"/>
    <w:rsid w:val="00BB1DCF"/>
    <w:rsid w:val="00BB3E60"/>
    <w:rsid w:val="00BB4210"/>
    <w:rsid w:val="00BB7373"/>
    <w:rsid w:val="00BC1743"/>
    <w:rsid w:val="00BC488E"/>
    <w:rsid w:val="00BE29D9"/>
    <w:rsid w:val="00BE2DF2"/>
    <w:rsid w:val="00BE6AD3"/>
    <w:rsid w:val="00C013CC"/>
    <w:rsid w:val="00C10D9D"/>
    <w:rsid w:val="00C115C2"/>
    <w:rsid w:val="00C1257C"/>
    <w:rsid w:val="00C213C2"/>
    <w:rsid w:val="00C24FE9"/>
    <w:rsid w:val="00C328CC"/>
    <w:rsid w:val="00C409A5"/>
    <w:rsid w:val="00C45B5E"/>
    <w:rsid w:val="00C46294"/>
    <w:rsid w:val="00C46F97"/>
    <w:rsid w:val="00C5627E"/>
    <w:rsid w:val="00C5647F"/>
    <w:rsid w:val="00C56A46"/>
    <w:rsid w:val="00C57E87"/>
    <w:rsid w:val="00C63D6A"/>
    <w:rsid w:val="00C646A8"/>
    <w:rsid w:val="00C6547C"/>
    <w:rsid w:val="00C70D5C"/>
    <w:rsid w:val="00C734C9"/>
    <w:rsid w:val="00C76B8E"/>
    <w:rsid w:val="00C84E10"/>
    <w:rsid w:val="00C86650"/>
    <w:rsid w:val="00C96C49"/>
    <w:rsid w:val="00CA4299"/>
    <w:rsid w:val="00CA7572"/>
    <w:rsid w:val="00CA7F74"/>
    <w:rsid w:val="00CB6246"/>
    <w:rsid w:val="00CC3160"/>
    <w:rsid w:val="00CD60D0"/>
    <w:rsid w:val="00CD6207"/>
    <w:rsid w:val="00CE39B8"/>
    <w:rsid w:val="00CF4344"/>
    <w:rsid w:val="00CF72D7"/>
    <w:rsid w:val="00D015A4"/>
    <w:rsid w:val="00D0661B"/>
    <w:rsid w:val="00D108BF"/>
    <w:rsid w:val="00D1092B"/>
    <w:rsid w:val="00D1423F"/>
    <w:rsid w:val="00D177A0"/>
    <w:rsid w:val="00D20092"/>
    <w:rsid w:val="00D21DB6"/>
    <w:rsid w:val="00D22E65"/>
    <w:rsid w:val="00D22EAF"/>
    <w:rsid w:val="00D3078B"/>
    <w:rsid w:val="00D3118E"/>
    <w:rsid w:val="00D34BC5"/>
    <w:rsid w:val="00D36BA1"/>
    <w:rsid w:val="00D37F07"/>
    <w:rsid w:val="00D41BB8"/>
    <w:rsid w:val="00D464EF"/>
    <w:rsid w:val="00D56517"/>
    <w:rsid w:val="00D67892"/>
    <w:rsid w:val="00D7119E"/>
    <w:rsid w:val="00D85656"/>
    <w:rsid w:val="00D9234F"/>
    <w:rsid w:val="00D93604"/>
    <w:rsid w:val="00DA0378"/>
    <w:rsid w:val="00DA33AC"/>
    <w:rsid w:val="00DA4D73"/>
    <w:rsid w:val="00DB0390"/>
    <w:rsid w:val="00DB62E8"/>
    <w:rsid w:val="00DB65A3"/>
    <w:rsid w:val="00DB78FC"/>
    <w:rsid w:val="00DC58F4"/>
    <w:rsid w:val="00DC5BFB"/>
    <w:rsid w:val="00DD1E44"/>
    <w:rsid w:val="00DD3EA6"/>
    <w:rsid w:val="00DE1D8B"/>
    <w:rsid w:val="00DE49E1"/>
    <w:rsid w:val="00DF172C"/>
    <w:rsid w:val="00DF5286"/>
    <w:rsid w:val="00E01D1F"/>
    <w:rsid w:val="00E055E6"/>
    <w:rsid w:val="00E06A9D"/>
    <w:rsid w:val="00E07146"/>
    <w:rsid w:val="00E0783E"/>
    <w:rsid w:val="00E15F80"/>
    <w:rsid w:val="00E315FC"/>
    <w:rsid w:val="00E352A5"/>
    <w:rsid w:val="00E36844"/>
    <w:rsid w:val="00E36B78"/>
    <w:rsid w:val="00E410F8"/>
    <w:rsid w:val="00E4195C"/>
    <w:rsid w:val="00E63029"/>
    <w:rsid w:val="00E63092"/>
    <w:rsid w:val="00E64253"/>
    <w:rsid w:val="00E65AC2"/>
    <w:rsid w:val="00E753E2"/>
    <w:rsid w:val="00E75C04"/>
    <w:rsid w:val="00E768ED"/>
    <w:rsid w:val="00E773FF"/>
    <w:rsid w:val="00E80627"/>
    <w:rsid w:val="00E86E5B"/>
    <w:rsid w:val="00EA22E0"/>
    <w:rsid w:val="00EC21BE"/>
    <w:rsid w:val="00EC3938"/>
    <w:rsid w:val="00EC4F17"/>
    <w:rsid w:val="00EC643A"/>
    <w:rsid w:val="00EE36E8"/>
    <w:rsid w:val="00EE49E7"/>
    <w:rsid w:val="00EE5116"/>
    <w:rsid w:val="00EE54B9"/>
    <w:rsid w:val="00EE696B"/>
    <w:rsid w:val="00F07E01"/>
    <w:rsid w:val="00F12B0C"/>
    <w:rsid w:val="00F15CD5"/>
    <w:rsid w:val="00F16393"/>
    <w:rsid w:val="00F201A0"/>
    <w:rsid w:val="00F20C42"/>
    <w:rsid w:val="00F239D0"/>
    <w:rsid w:val="00F36D7A"/>
    <w:rsid w:val="00F41EF2"/>
    <w:rsid w:val="00F42DE1"/>
    <w:rsid w:val="00F45ABD"/>
    <w:rsid w:val="00F47F82"/>
    <w:rsid w:val="00F50BAB"/>
    <w:rsid w:val="00F52BFF"/>
    <w:rsid w:val="00F53E64"/>
    <w:rsid w:val="00F56218"/>
    <w:rsid w:val="00F56615"/>
    <w:rsid w:val="00F76366"/>
    <w:rsid w:val="00F82148"/>
    <w:rsid w:val="00F82439"/>
    <w:rsid w:val="00FA1ED8"/>
    <w:rsid w:val="00FA603D"/>
    <w:rsid w:val="00FB67B6"/>
    <w:rsid w:val="00FC0B24"/>
    <w:rsid w:val="00FC3883"/>
    <w:rsid w:val="00FC6061"/>
    <w:rsid w:val="00FD2921"/>
    <w:rsid w:val="00FD7389"/>
    <w:rsid w:val="00FE0D43"/>
    <w:rsid w:val="00FE1E79"/>
    <w:rsid w:val="00FE5BFC"/>
    <w:rsid w:val="00FF4A25"/>
    <w:rsid w:val="00FF4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20151"/>
  <w15:docId w15:val="{8711CCED-07F5-9E4F-A61E-00A1B41D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lang w:val="en-AU" w:eastAsia="en-US" w:bidi="ar-SA"/>
      </w:rPr>
    </w:rPrDefault>
    <w:pPrDefault>
      <w:pPr>
        <w:spacing w:before="160"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2"/>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AD"/>
    <w:pPr>
      <w:spacing w:before="120" w:after="0"/>
    </w:pPr>
    <w:rPr>
      <w:rFonts w:eastAsiaTheme="minorEastAsia"/>
    </w:rPr>
  </w:style>
  <w:style w:type="paragraph" w:styleId="Heading1">
    <w:name w:val="heading 1"/>
    <w:basedOn w:val="Normal"/>
    <w:next w:val="Normal"/>
    <w:link w:val="Heading1Char"/>
    <w:uiPriority w:val="9"/>
    <w:qFormat/>
    <w:rsid w:val="00BC1743"/>
    <w:pPr>
      <w:keepNext/>
      <w:keepLines/>
      <w:spacing w:before="360" w:after="160"/>
      <w:contextualSpacing/>
      <w:outlineLvl w:val="0"/>
    </w:pPr>
    <w:rPr>
      <w:rFonts w:asciiTheme="majorHAnsi" w:hAnsiTheme="majorHAnsi"/>
      <w:b/>
      <w:color w:val="033636" w:themeColor="accent1"/>
      <w:sz w:val="22"/>
      <w:szCs w:val="44"/>
    </w:rPr>
  </w:style>
  <w:style w:type="paragraph" w:styleId="Heading2">
    <w:name w:val="heading 2"/>
    <w:basedOn w:val="Normal"/>
    <w:next w:val="Normal"/>
    <w:link w:val="Heading2Char"/>
    <w:uiPriority w:val="9"/>
    <w:rsid w:val="003A0210"/>
    <w:pPr>
      <w:keepNext/>
      <w:keepLines/>
      <w:contextualSpacing/>
      <w:outlineLvl w:val="1"/>
    </w:pPr>
    <w:rPr>
      <w:rFonts w:asciiTheme="majorHAnsi" w:hAnsiTheme="majorHAnsi"/>
      <w:b/>
      <w:color w:val="033636" w:themeColor="accent1"/>
      <w:szCs w:val="28"/>
    </w:rPr>
  </w:style>
  <w:style w:type="paragraph" w:styleId="Heading3">
    <w:name w:val="heading 3"/>
    <w:basedOn w:val="Normal"/>
    <w:next w:val="Normal"/>
    <w:link w:val="Heading3Char"/>
    <w:uiPriority w:val="9"/>
    <w:rsid w:val="00D464EF"/>
    <w:pPr>
      <w:keepNext/>
      <w:keepLines/>
      <w:spacing w:before="240"/>
      <w:contextualSpacing/>
      <w:outlineLvl w:val="2"/>
    </w:pPr>
    <w:rPr>
      <w:rFonts w:asciiTheme="majorHAnsi" w:hAnsiTheme="majorHAnsi"/>
      <w:i/>
      <w:color w:val="03363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8"/>
    <w:rsid w:val="008C43D8"/>
    <w:pPr>
      <w:spacing w:before="0" w:after="240"/>
      <w:contextualSpacing/>
    </w:pPr>
  </w:style>
  <w:style w:type="character" w:customStyle="1" w:styleId="SubtitleChar">
    <w:name w:val="Subtitle Char"/>
    <w:basedOn w:val="DefaultParagraphFont"/>
    <w:link w:val="Subtitle"/>
    <w:uiPriority w:val="18"/>
    <w:rsid w:val="008C43D8"/>
  </w:style>
  <w:style w:type="paragraph" w:styleId="BalloonText">
    <w:name w:val="Balloon Text"/>
    <w:basedOn w:val="Normal"/>
    <w:link w:val="BalloonTextChar"/>
    <w:uiPriority w:val="99"/>
    <w:semiHidden/>
    <w:unhideWhenUsed/>
    <w:rsid w:val="00C5647F"/>
    <w:rPr>
      <w:rFonts w:ascii="Tahoma" w:hAnsi="Tahoma" w:cs="Tahoma"/>
      <w:sz w:val="16"/>
      <w:szCs w:val="16"/>
    </w:rPr>
  </w:style>
  <w:style w:type="character" w:customStyle="1" w:styleId="BalloonTextChar">
    <w:name w:val="Balloon Text Char"/>
    <w:basedOn w:val="DefaultParagraphFont"/>
    <w:link w:val="BalloonText"/>
    <w:uiPriority w:val="99"/>
    <w:semiHidden/>
    <w:rsid w:val="00C5647F"/>
    <w:rPr>
      <w:rFonts w:ascii="Tahoma" w:eastAsia="MS Mincho" w:hAnsi="Tahoma" w:cs="Tahoma"/>
      <w:sz w:val="16"/>
      <w:szCs w:val="16"/>
      <w:lang w:eastAsia="ja-JP"/>
    </w:rPr>
  </w:style>
  <w:style w:type="paragraph" w:styleId="Header">
    <w:name w:val="header"/>
    <w:basedOn w:val="Normal"/>
    <w:link w:val="HeaderChar"/>
    <w:uiPriority w:val="99"/>
    <w:unhideWhenUsed/>
    <w:rsid w:val="00CA4299"/>
    <w:pPr>
      <w:tabs>
        <w:tab w:val="center" w:pos="4513"/>
        <w:tab w:val="right" w:pos="9026"/>
      </w:tabs>
      <w:spacing w:before="0"/>
    </w:pPr>
    <w:rPr>
      <w:sz w:val="16"/>
    </w:rPr>
  </w:style>
  <w:style w:type="character" w:customStyle="1" w:styleId="HeaderChar">
    <w:name w:val="Header Char"/>
    <w:basedOn w:val="DefaultParagraphFont"/>
    <w:link w:val="Header"/>
    <w:uiPriority w:val="99"/>
    <w:rsid w:val="00CA4299"/>
    <w:rPr>
      <w:sz w:val="16"/>
    </w:rPr>
  </w:style>
  <w:style w:type="paragraph" w:styleId="Footer">
    <w:name w:val="footer"/>
    <w:basedOn w:val="Normal"/>
    <w:link w:val="FooterChar"/>
    <w:uiPriority w:val="99"/>
    <w:unhideWhenUsed/>
    <w:rsid w:val="00CA4299"/>
    <w:pPr>
      <w:spacing w:before="0"/>
    </w:pPr>
    <w:rPr>
      <w:color w:val="000000" w:themeColor="text1"/>
      <w:sz w:val="16"/>
    </w:rPr>
  </w:style>
  <w:style w:type="character" w:customStyle="1" w:styleId="FooterChar">
    <w:name w:val="Footer Char"/>
    <w:basedOn w:val="DefaultParagraphFont"/>
    <w:link w:val="Footer"/>
    <w:uiPriority w:val="99"/>
    <w:rsid w:val="00CA4299"/>
    <w:rPr>
      <w:color w:val="000000" w:themeColor="text1"/>
      <w:sz w:val="16"/>
    </w:rPr>
  </w:style>
  <w:style w:type="paragraph" w:styleId="Title">
    <w:name w:val="Title"/>
    <w:basedOn w:val="Normal"/>
    <w:link w:val="TitleChar"/>
    <w:uiPriority w:val="17"/>
    <w:rsid w:val="00D56517"/>
    <w:pPr>
      <w:spacing w:before="0" w:after="360"/>
      <w:contextualSpacing/>
    </w:pPr>
    <w:rPr>
      <w:color w:val="033636" w:themeColor="accent1"/>
      <w:sz w:val="52"/>
      <w:szCs w:val="82"/>
    </w:rPr>
  </w:style>
  <w:style w:type="character" w:customStyle="1" w:styleId="TitleChar">
    <w:name w:val="Title Char"/>
    <w:basedOn w:val="DefaultParagraphFont"/>
    <w:link w:val="Title"/>
    <w:uiPriority w:val="17"/>
    <w:rsid w:val="00D56517"/>
    <w:rPr>
      <w:color w:val="033636" w:themeColor="accent1"/>
      <w:sz w:val="52"/>
      <w:szCs w:val="82"/>
    </w:rPr>
  </w:style>
  <w:style w:type="paragraph" w:customStyle="1" w:styleId="Address">
    <w:name w:val="Address"/>
    <w:basedOn w:val="Normal"/>
    <w:semiHidden/>
    <w:rsid w:val="00191178"/>
    <w:pPr>
      <w:spacing w:before="0"/>
    </w:pPr>
    <w:rPr>
      <w:b/>
      <w:color w:val="033636" w:themeColor="accent1"/>
    </w:rPr>
  </w:style>
  <w:style w:type="character" w:customStyle="1" w:styleId="Heading1Char">
    <w:name w:val="Heading 1 Char"/>
    <w:basedOn w:val="DefaultParagraphFont"/>
    <w:link w:val="Heading1"/>
    <w:uiPriority w:val="9"/>
    <w:rsid w:val="00BC1743"/>
    <w:rPr>
      <w:rFonts w:asciiTheme="majorHAnsi" w:hAnsiTheme="majorHAnsi"/>
      <w:b/>
      <w:color w:val="033636" w:themeColor="accent1"/>
      <w:sz w:val="22"/>
      <w:szCs w:val="44"/>
    </w:rPr>
  </w:style>
  <w:style w:type="character" w:customStyle="1" w:styleId="Heading2Char">
    <w:name w:val="Heading 2 Char"/>
    <w:basedOn w:val="DefaultParagraphFont"/>
    <w:link w:val="Heading2"/>
    <w:uiPriority w:val="9"/>
    <w:rsid w:val="003A0210"/>
    <w:rPr>
      <w:rFonts w:asciiTheme="majorHAnsi" w:eastAsiaTheme="minorEastAsia" w:hAnsiTheme="majorHAnsi"/>
      <w:b/>
      <w:color w:val="033636" w:themeColor="accent1"/>
      <w:szCs w:val="28"/>
    </w:rPr>
  </w:style>
  <w:style w:type="character" w:customStyle="1" w:styleId="Heading3Char">
    <w:name w:val="Heading 3 Char"/>
    <w:basedOn w:val="DefaultParagraphFont"/>
    <w:link w:val="Heading3"/>
    <w:uiPriority w:val="9"/>
    <w:rsid w:val="00D464EF"/>
    <w:rPr>
      <w:rFonts w:asciiTheme="majorHAnsi" w:hAnsiTheme="majorHAnsi"/>
      <w:i/>
      <w:color w:val="033636" w:themeColor="accent1"/>
    </w:rPr>
  </w:style>
  <w:style w:type="paragraph" w:styleId="TOCHeading">
    <w:name w:val="TOC Heading"/>
    <w:basedOn w:val="Heading1"/>
    <w:next w:val="Normal"/>
    <w:uiPriority w:val="39"/>
    <w:rsid w:val="00DA4D73"/>
    <w:pPr>
      <w:contextualSpacing w:val="0"/>
      <w:outlineLvl w:val="9"/>
    </w:pPr>
    <w:rPr>
      <w:rFonts w:eastAsiaTheme="majorEastAsia" w:cstheme="majorBidi"/>
      <w:bCs/>
      <w:szCs w:val="28"/>
    </w:rPr>
  </w:style>
  <w:style w:type="character" w:styleId="FootnoteReference">
    <w:name w:val="footnote reference"/>
    <w:basedOn w:val="DefaultParagraphFont"/>
    <w:uiPriority w:val="99"/>
    <w:semiHidden/>
    <w:unhideWhenUsed/>
    <w:rsid w:val="00C5647F"/>
    <w:rPr>
      <w:vertAlign w:val="superscript"/>
    </w:rPr>
  </w:style>
  <w:style w:type="paragraph" w:styleId="FootnoteText">
    <w:name w:val="footnote text"/>
    <w:basedOn w:val="Normal"/>
    <w:link w:val="FootnoteTextChar"/>
    <w:uiPriority w:val="99"/>
    <w:rsid w:val="00E80627"/>
    <w:pPr>
      <w:spacing w:before="0"/>
    </w:pPr>
  </w:style>
  <w:style w:type="character" w:customStyle="1" w:styleId="FootnoteTextChar">
    <w:name w:val="Footnote Text Char"/>
    <w:basedOn w:val="DefaultParagraphFont"/>
    <w:link w:val="FootnoteText"/>
    <w:uiPriority w:val="99"/>
    <w:rsid w:val="00E80627"/>
    <w:rPr>
      <w:rFonts w:ascii="Arial" w:eastAsia="MS Mincho" w:hAnsi="Arial"/>
      <w:sz w:val="18"/>
      <w:lang w:eastAsia="ja-JP"/>
    </w:rPr>
  </w:style>
  <w:style w:type="character" w:styleId="Hyperlink">
    <w:name w:val="Hyperlink"/>
    <w:basedOn w:val="DefaultParagraphFont"/>
    <w:uiPriority w:val="99"/>
    <w:unhideWhenUsed/>
    <w:rsid w:val="00BB3E60"/>
    <w:rPr>
      <w:color w:val="auto"/>
      <w:u w:val="single"/>
    </w:rPr>
  </w:style>
  <w:style w:type="paragraph" w:styleId="ListBullet">
    <w:name w:val="List Bullet"/>
    <w:basedOn w:val="Normal"/>
    <w:uiPriority w:val="2"/>
    <w:qFormat/>
    <w:rsid w:val="001057B1"/>
    <w:pPr>
      <w:numPr>
        <w:numId w:val="32"/>
      </w:numPr>
      <w:spacing w:before="80" w:after="80"/>
      <w:ind w:left="357" w:hanging="357"/>
    </w:pPr>
    <w:rPr>
      <w:rFonts w:eastAsia="Times New Roman"/>
      <w:lang w:eastAsia="en-AU"/>
    </w:rPr>
  </w:style>
  <w:style w:type="paragraph" w:styleId="ListNumber">
    <w:name w:val="List Number"/>
    <w:basedOn w:val="Normal"/>
    <w:uiPriority w:val="2"/>
    <w:qFormat/>
    <w:rsid w:val="0077668B"/>
    <w:pPr>
      <w:numPr>
        <w:numId w:val="24"/>
      </w:numPr>
    </w:pPr>
    <w:rPr>
      <w:rFonts w:eastAsia="Times New Roman"/>
      <w:lang w:eastAsia="en-AU"/>
    </w:rPr>
  </w:style>
  <w:style w:type="paragraph" w:styleId="NoSpacing">
    <w:name w:val="No Spacing"/>
    <w:uiPriority w:val="1"/>
    <w:qFormat/>
    <w:rsid w:val="00AA20B8"/>
    <w:pPr>
      <w:spacing w:before="0" w:after="0"/>
    </w:pPr>
  </w:style>
  <w:style w:type="paragraph" w:styleId="TOC1">
    <w:name w:val="toc 1"/>
    <w:basedOn w:val="Normal"/>
    <w:next w:val="Normal"/>
    <w:autoRedefine/>
    <w:uiPriority w:val="39"/>
    <w:rsid w:val="00C5647F"/>
    <w:pPr>
      <w:spacing w:after="100"/>
    </w:pPr>
  </w:style>
  <w:style w:type="table" w:styleId="LightShading-Accent1">
    <w:name w:val="Light Shading Accent 1"/>
    <w:basedOn w:val="TableNormal"/>
    <w:uiPriority w:val="60"/>
    <w:rsid w:val="00056BC0"/>
    <w:rPr>
      <w:color w:val="022828" w:themeColor="accent1" w:themeShade="BF"/>
    </w:rPr>
    <w:tblPr>
      <w:tblStyleRowBandSize w:val="1"/>
      <w:tblStyleColBandSize w:val="1"/>
      <w:tblBorders>
        <w:top w:val="single" w:sz="8" w:space="0" w:color="033636" w:themeColor="accent1"/>
        <w:bottom w:val="single" w:sz="8" w:space="0" w:color="033636" w:themeColor="accent1"/>
      </w:tblBorders>
    </w:tblPr>
    <w:tblStylePr w:type="fir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lastRow">
      <w:pPr>
        <w:spacing w:before="0" w:after="0" w:line="240" w:lineRule="auto"/>
      </w:pPr>
      <w:rPr>
        <w:b/>
        <w:bCs/>
      </w:rPr>
      <w:tblPr/>
      <w:tcPr>
        <w:tcBorders>
          <w:top w:val="single" w:sz="8" w:space="0" w:color="033636" w:themeColor="accent1"/>
          <w:left w:val="nil"/>
          <w:bottom w:val="single" w:sz="8" w:space="0" w:color="03363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F9F9" w:themeFill="accent1" w:themeFillTint="3F"/>
      </w:tcPr>
    </w:tblStylePr>
    <w:tblStylePr w:type="band1Horz">
      <w:tblPr/>
      <w:tcPr>
        <w:tcBorders>
          <w:left w:val="nil"/>
          <w:right w:val="nil"/>
          <w:insideH w:val="nil"/>
          <w:insideV w:val="nil"/>
        </w:tcBorders>
        <w:shd w:val="clear" w:color="auto" w:fill="94F9F9" w:themeFill="accent1" w:themeFillTint="3F"/>
      </w:tcPr>
    </w:tblStylePr>
  </w:style>
  <w:style w:type="table" w:styleId="MediumShading2">
    <w:name w:val="Medium Shading 2"/>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56B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363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33636" w:themeFill="accent1"/>
      </w:tcPr>
    </w:tblStylePr>
    <w:tblStylePr w:type="lastCol">
      <w:rPr>
        <w:b/>
        <w:bCs/>
        <w:color w:val="FFFFFF" w:themeColor="background1"/>
      </w:rPr>
      <w:tblPr/>
      <w:tcPr>
        <w:tcBorders>
          <w:left w:val="nil"/>
          <w:right w:val="nil"/>
          <w:insideH w:val="nil"/>
          <w:insideV w:val="nil"/>
        </w:tcBorders>
        <w:shd w:val="clear" w:color="auto" w:fill="03363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2">
    <w:name w:val="toc 2"/>
    <w:basedOn w:val="Normal"/>
    <w:next w:val="Normal"/>
    <w:autoRedefine/>
    <w:uiPriority w:val="39"/>
    <w:rsid w:val="00693793"/>
    <w:pPr>
      <w:spacing w:after="100"/>
      <w:ind w:left="220"/>
    </w:pPr>
  </w:style>
  <w:style w:type="paragraph" w:styleId="ListBullet2">
    <w:name w:val="List Bullet 2"/>
    <w:basedOn w:val="Normal"/>
    <w:uiPriority w:val="2"/>
    <w:semiHidden/>
    <w:qFormat/>
    <w:rsid w:val="00A53522"/>
    <w:pPr>
      <w:numPr>
        <w:ilvl w:val="1"/>
        <w:numId w:val="32"/>
      </w:numPr>
      <w:spacing w:before="80" w:after="80"/>
      <w:ind w:left="714" w:hanging="357"/>
    </w:pPr>
    <w:rPr>
      <w:rFonts w:eastAsia="Times New Roman"/>
      <w:lang w:eastAsia="en-AU"/>
    </w:rPr>
  </w:style>
  <w:style w:type="paragraph" w:styleId="ListBullet3">
    <w:name w:val="List Bullet 3"/>
    <w:basedOn w:val="Normal"/>
    <w:uiPriority w:val="2"/>
    <w:semiHidden/>
    <w:rsid w:val="00A53522"/>
    <w:pPr>
      <w:numPr>
        <w:ilvl w:val="2"/>
        <w:numId w:val="32"/>
      </w:numPr>
      <w:spacing w:before="80" w:after="80"/>
      <w:ind w:left="1077" w:hanging="357"/>
    </w:pPr>
    <w:rPr>
      <w:rFonts w:eastAsia="Times New Roman"/>
      <w:lang w:eastAsia="en-AU"/>
    </w:rPr>
  </w:style>
  <w:style w:type="paragraph" w:styleId="ListBullet4">
    <w:name w:val="List Bullet 4"/>
    <w:basedOn w:val="Normal"/>
    <w:uiPriority w:val="2"/>
    <w:semiHidden/>
    <w:rsid w:val="00A53522"/>
    <w:pPr>
      <w:numPr>
        <w:ilvl w:val="3"/>
        <w:numId w:val="32"/>
      </w:numPr>
      <w:spacing w:before="80" w:after="80"/>
      <w:ind w:left="1434" w:hanging="357"/>
    </w:pPr>
    <w:rPr>
      <w:rFonts w:eastAsia="Times New Roman"/>
      <w:lang w:eastAsia="en-AU"/>
    </w:rPr>
  </w:style>
  <w:style w:type="paragraph" w:styleId="ListBullet5">
    <w:name w:val="List Bullet 5"/>
    <w:basedOn w:val="Normal"/>
    <w:uiPriority w:val="2"/>
    <w:semiHidden/>
    <w:rsid w:val="00A53522"/>
    <w:pPr>
      <w:numPr>
        <w:ilvl w:val="4"/>
        <w:numId w:val="32"/>
      </w:numPr>
      <w:spacing w:before="80" w:after="80"/>
      <w:ind w:left="1797" w:hanging="357"/>
    </w:pPr>
    <w:rPr>
      <w:rFonts w:eastAsia="Times New Roman"/>
      <w:lang w:eastAsia="en-AU"/>
    </w:rPr>
  </w:style>
  <w:style w:type="paragraph" w:styleId="ListNumber2">
    <w:name w:val="List Number 2"/>
    <w:basedOn w:val="Normal"/>
    <w:uiPriority w:val="2"/>
    <w:semiHidden/>
    <w:rsid w:val="005316C5"/>
    <w:pPr>
      <w:numPr>
        <w:ilvl w:val="1"/>
        <w:numId w:val="24"/>
      </w:numPr>
    </w:pPr>
    <w:rPr>
      <w:rFonts w:eastAsia="Times New Roman"/>
      <w:lang w:eastAsia="en-AU"/>
    </w:rPr>
  </w:style>
  <w:style w:type="paragraph" w:styleId="ListNumber3">
    <w:name w:val="List Number 3"/>
    <w:basedOn w:val="Normal"/>
    <w:uiPriority w:val="2"/>
    <w:semiHidden/>
    <w:rsid w:val="005316C5"/>
    <w:pPr>
      <w:numPr>
        <w:ilvl w:val="2"/>
        <w:numId w:val="24"/>
      </w:numPr>
    </w:pPr>
    <w:rPr>
      <w:rFonts w:eastAsia="Times New Roman"/>
      <w:lang w:eastAsia="en-AU"/>
    </w:rPr>
  </w:style>
  <w:style w:type="paragraph" w:styleId="ListNumber4">
    <w:name w:val="List Number 4"/>
    <w:basedOn w:val="Normal"/>
    <w:uiPriority w:val="2"/>
    <w:semiHidden/>
    <w:rsid w:val="005316C5"/>
    <w:pPr>
      <w:numPr>
        <w:ilvl w:val="3"/>
        <w:numId w:val="24"/>
      </w:numPr>
    </w:pPr>
    <w:rPr>
      <w:rFonts w:eastAsia="Times New Roman"/>
      <w:lang w:eastAsia="en-AU"/>
    </w:rPr>
  </w:style>
  <w:style w:type="paragraph" w:styleId="ListNumber5">
    <w:name w:val="List Number 5"/>
    <w:basedOn w:val="Normal"/>
    <w:uiPriority w:val="2"/>
    <w:semiHidden/>
    <w:rsid w:val="005316C5"/>
    <w:pPr>
      <w:numPr>
        <w:ilvl w:val="4"/>
        <w:numId w:val="24"/>
      </w:numPr>
    </w:pPr>
    <w:rPr>
      <w:rFonts w:eastAsia="Times New Roman"/>
      <w:lang w:eastAsia="en-AU"/>
    </w:rPr>
  </w:style>
  <w:style w:type="paragraph" w:styleId="List">
    <w:name w:val="List"/>
    <w:aliases w:val="List Letter"/>
    <w:basedOn w:val="Normal"/>
    <w:uiPriority w:val="2"/>
    <w:rsid w:val="00745B71"/>
    <w:pPr>
      <w:numPr>
        <w:numId w:val="25"/>
      </w:numPr>
      <w:ind w:left="357" w:hanging="357"/>
    </w:pPr>
    <w:rPr>
      <w:rFonts w:eastAsia="Times New Roman"/>
      <w:lang w:eastAsia="en-AU"/>
    </w:rPr>
  </w:style>
  <w:style w:type="table" w:styleId="ListTable3-Accent2">
    <w:name w:val="List Table 3 Accent 2"/>
    <w:basedOn w:val="TableNormal"/>
    <w:uiPriority w:val="48"/>
    <w:rsid w:val="00394798"/>
    <w:pPr>
      <w:spacing w:after="0"/>
    </w:pPr>
    <w:tblPr>
      <w:tblStyleRowBandSize w:val="1"/>
      <w:tblStyleColBandSize w:val="1"/>
      <w:tblBorders>
        <w:top w:val="single" w:sz="4" w:space="0" w:color="00DCA1" w:themeColor="accent2"/>
        <w:left w:val="single" w:sz="4" w:space="0" w:color="00DCA1" w:themeColor="accent2"/>
        <w:bottom w:val="single" w:sz="4" w:space="0" w:color="00DCA1" w:themeColor="accent2"/>
        <w:right w:val="single" w:sz="4" w:space="0" w:color="00DCA1" w:themeColor="accent2"/>
      </w:tblBorders>
    </w:tblPr>
    <w:tblStylePr w:type="firstRow">
      <w:rPr>
        <w:b/>
        <w:bCs/>
        <w:color w:val="FFFFFF" w:themeColor="background1"/>
      </w:rPr>
      <w:tblPr/>
      <w:tcPr>
        <w:shd w:val="clear" w:color="auto" w:fill="00DCA1" w:themeFill="accent2"/>
      </w:tcPr>
    </w:tblStylePr>
    <w:tblStylePr w:type="lastRow">
      <w:rPr>
        <w:b/>
        <w:bCs/>
      </w:rPr>
      <w:tblPr/>
      <w:tcPr>
        <w:tcBorders>
          <w:top w:val="double" w:sz="4" w:space="0" w:color="00DCA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CA1" w:themeColor="accent2"/>
          <w:right w:val="single" w:sz="4" w:space="0" w:color="00DCA1" w:themeColor="accent2"/>
        </w:tcBorders>
      </w:tcPr>
    </w:tblStylePr>
    <w:tblStylePr w:type="band1Horz">
      <w:tblPr/>
      <w:tcPr>
        <w:tcBorders>
          <w:top w:val="single" w:sz="4" w:space="0" w:color="00DCA1" w:themeColor="accent2"/>
          <w:bottom w:val="single" w:sz="4" w:space="0" w:color="00DCA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CA1" w:themeColor="accent2"/>
          <w:left w:val="nil"/>
        </w:tcBorders>
      </w:tcPr>
    </w:tblStylePr>
    <w:tblStylePr w:type="swCell">
      <w:tblPr/>
      <w:tcPr>
        <w:tcBorders>
          <w:top w:val="double" w:sz="4" w:space="0" w:color="00DCA1" w:themeColor="accent2"/>
          <w:right w:val="nil"/>
        </w:tcBorders>
      </w:tcPr>
    </w:tblStylePr>
  </w:style>
  <w:style w:type="paragraph" w:styleId="Caption">
    <w:name w:val="caption"/>
    <w:basedOn w:val="Normal"/>
    <w:next w:val="Normal"/>
    <w:uiPriority w:val="12"/>
    <w:rsid w:val="00EE5116"/>
    <w:pPr>
      <w:keepNext/>
      <w:keepLines/>
      <w:spacing w:before="240" w:after="160"/>
      <w:contextualSpacing/>
    </w:pPr>
    <w:rPr>
      <w:b/>
      <w:iCs/>
      <w:color w:val="033636" w:themeColor="accent1"/>
    </w:rPr>
  </w:style>
  <w:style w:type="table" w:customStyle="1" w:styleId="DepartmentofHealthtable">
    <w:name w:val="Department of Health table"/>
    <w:basedOn w:val="TableNormal"/>
    <w:uiPriority w:val="99"/>
    <w:rsid w:val="00AC71C9"/>
    <w:pPr>
      <w:spacing w:before="0" w:after="0"/>
    </w:pPr>
    <w:tblPr>
      <w:tblBorders>
        <w:top w:val="single" w:sz="8" w:space="0" w:color="00DCA1" w:themeColor="accent2"/>
        <w:bottom w:val="single" w:sz="8" w:space="0" w:color="00DCA1" w:themeColor="accent2"/>
        <w:insideH w:val="single" w:sz="2" w:space="0" w:color="00DCA1" w:themeColor="accent2"/>
      </w:tblBorders>
      <w:tblCellMar>
        <w:top w:w="113" w:type="dxa"/>
        <w:left w:w="0" w:type="dxa"/>
        <w:bottom w:w="113" w:type="dxa"/>
        <w:right w:w="113" w:type="dxa"/>
      </w:tblCellMar>
    </w:tblPr>
    <w:tblStylePr w:type="firstRow">
      <w:rPr>
        <w:b/>
        <w:color w:val="033636" w:themeColor="accent1"/>
      </w:rPr>
      <w:tblPr/>
      <w:tcPr>
        <w:tcBorders>
          <w:top w:val="single" w:sz="8" w:space="0" w:color="00DCA1" w:themeColor="accent2"/>
          <w:left w:val="nil"/>
          <w:bottom w:val="single" w:sz="8" w:space="0" w:color="00DCA1" w:themeColor="accent2"/>
          <w:right w:val="nil"/>
          <w:insideH w:val="nil"/>
          <w:insideV w:val="nil"/>
          <w:tl2br w:val="nil"/>
          <w:tr2bl w:val="nil"/>
        </w:tcBorders>
      </w:tcPr>
    </w:tblStylePr>
  </w:style>
  <w:style w:type="paragraph" w:styleId="TOC3">
    <w:name w:val="toc 3"/>
    <w:basedOn w:val="Normal"/>
    <w:next w:val="Normal"/>
    <w:autoRedefine/>
    <w:uiPriority w:val="39"/>
    <w:unhideWhenUsed/>
    <w:rsid w:val="00693793"/>
    <w:pPr>
      <w:spacing w:after="100"/>
      <w:ind w:left="440"/>
    </w:pPr>
  </w:style>
  <w:style w:type="table" w:styleId="GridTable3">
    <w:name w:val="Grid Table 3"/>
    <w:basedOn w:val="TableNormal"/>
    <w:uiPriority w:val="48"/>
    <w:rsid w:val="0080304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
    <w:name w:val="List Table 2"/>
    <w:basedOn w:val="TableNormal"/>
    <w:uiPriority w:val="47"/>
    <w:rsid w:val="0080304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4">
    <w:name w:val="List Table 2 Accent 4"/>
    <w:basedOn w:val="TableNormal"/>
    <w:uiPriority w:val="47"/>
    <w:rsid w:val="007531C4"/>
    <w:tblPr>
      <w:tblStyleRowBandSize w:val="1"/>
      <w:tblStyleColBandSize w:val="1"/>
      <w:tblBorders>
        <w:top w:val="single" w:sz="4" w:space="0" w:color="FF9443" w:themeColor="accent4" w:themeTint="99"/>
        <w:bottom w:val="single" w:sz="4" w:space="0" w:color="FF9443" w:themeColor="accent4" w:themeTint="99"/>
        <w:insideH w:val="single" w:sz="4" w:space="0" w:color="FF944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0" w:themeFill="accent4" w:themeFillTint="33"/>
      </w:tcPr>
    </w:tblStylePr>
    <w:tblStylePr w:type="band1Horz">
      <w:tblPr/>
      <w:tcPr>
        <w:shd w:val="clear" w:color="auto" w:fill="FFDBC0" w:themeFill="accent4" w:themeFillTint="33"/>
      </w:tcPr>
    </w:tblStylePr>
  </w:style>
  <w:style w:type="character" w:styleId="PlaceholderText">
    <w:name w:val="Placeholder Text"/>
    <w:basedOn w:val="DefaultParagraphFont"/>
    <w:uiPriority w:val="99"/>
    <w:semiHidden/>
    <w:rsid w:val="00D56517"/>
    <w:rPr>
      <w:color w:val="666666"/>
    </w:rPr>
  </w:style>
  <w:style w:type="paragraph" w:customStyle="1" w:styleId="H1">
    <w:name w:val="H1"/>
    <w:basedOn w:val="Normal"/>
    <w:uiPriority w:val="99"/>
    <w:rsid w:val="003A0210"/>
    <w:pPr>
      <w:suppressAutoHyphens/>
      <w:autoSpaceDE w:val="0"/>
      <w:autoSpaceDN w:val="0"/>
      <w:adjustRightInd w:val="0"/>
      <w:spacing w:before="113" w:line="280" w:lineRule="atLeast"/>
      <w:jc w:val="center"/>
      <w:textAlignment w:val="center"/>
    </w:pPr>
    <w:rPr>
      <w:rFonts w:ascii="Manrope ExtraLight" w:eastAsiaTheme="minorHAnsi" w:hAnsi="Manrope ExtraLight" w:cs="Manrope ExtraLight"/>
      <w:b/>
      <w:bCs/>
      <w:color w:val="FFFFFF"/>
      <w:sz w:val="28"/>
      <w:szCs w:val="28"/>
      <w:lang w:val="en-GB"/>
    </w:rPr>
  </w:style>
  <w:style w:type="paragraph" w:styleId="ListParagraph">
    <w:name w:val="List Paragraph"/>
    <w:basedOn w:val="Normal"/>
    <w:uiPriority w:val="34"/>
    <w:rsid w:val="003A0210"/>
    <w:pPr>
      <w:ind w:left="720"/>
      <w:contextualSpacing/>
    </w:pPr>
  </w:style>
  <w:style w:type="paragraph" w:customStyle="1" w:styleId="H1Green">
    <w:name w:val="H1 Green"/>
    <w:basedOn w:val="Normal"/>
    <w:uiPriority w:val="99"/>
    <w:rsid w:val="003A0210"/>
    <w:pPr>
      <w:suppressAutoHyphens/>
      <w:autoSpaceDE w:val="0"/>
      <w:autoSpaceDN w:val="0"/>
      <w:adjustRightInd w:val="0"/>
      <w:spacing w:before="113" w:line="288" w:lineRule="auto"/>
      <w:jc w:val="center"/>
      <w:textAlignment w:val="center"/>
    </w:pPr>
    <w:rPr>
      <w:rFonts w:ascii="Manrope ExtraLight" w:eastAsiaTheme="minorHAnsi" w:hAnsi="Manrope ExtraLight" w:cs="Manrope ExtraLight"/>
      <w:b/>
      <w:bCs/>
      <w:color w:val="033636"/>
      <w:sz w:val="28"/>
      <w:szCs w:val="28"/>
      <w:lang w:val="en-GB"/>
    </w:rPr>
  </w:style>
  <w:style w:type="paragraph" w:customStyle="1" w:styleId="H1Back">
    <w:name w:val="H1 Back"/>
    <w:basedOn w:val="Normal"/>
    <w:uiPriority w:val="99"/>
    <w:rsid w:val="004530AD"/>
    <w:pPr>
      <w:suppressAutoHyphens/>
      <w:autoSpaceDE w:val="0"/>
      <w:autoSpaceDN w:val="0"/>
      <w:adjustRightInd w:val="0"/>
      <w:spacing w:before="113" w:after="283" w:line="288" w:lineRule="auto"/>
      <w:textAlignment w:val="center"/>
    </w:pPr>
    <w:rPr>
      <w:rFonts w:ascii="Manrope ExtraLight" w:eastAsiaTheme="minorHAnsi" w:hAnsi="Manrope ExtraLight" w:cs="Manrope ExtraLight"/>
      <w:b/>
      <w:bCs/>
      <w:color w:val="033636"/>
      <w:sz w:val="48"/>
      <w:szCs w:val="48"/>
      <w:lang w:val="en-GB"/>
    </w:rPr>
  </w:style>
  <w:style w:type="paragraph" w:customStyle="1" w:styleId="BasicParagraph">
    <w:name w:val="[Basic Paragraph]"/>
    <w:basedOn w:val="Normal"/>
    <w:uiPriority w:val="99"/>
    <w:rsid w:val="004530AD"/>
    <w:pPr>
      <w:suppressAutoHyphens/>
      <w:autoSpaceDE w:val="0"/>
      <w:autoSpaceDN w:val="0"/>
      <w:adjustRightInd w:val="0"/>
      <w:spacing w:before="113" w:line="288" w:lineRule="auto"/>
      <w:textAlignment w:val="center"/>
    </w:pPr>
    <w:rPr>
      <w:rFonts w:ascii="Manrope ExtraLight" w:eastAsiaTheme="minorHAnsi" w:hAnsi="Manrope ExtraLight" w:cs="Manrope ExtraLight"/>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DC Word">
      <a:dk1>
        <a:srgbClr val="000000"/>
      </a:dk1>
      <a:lt1>
        <a:sysClr val="window" lastClr="FFFFFF"/>
      </a:lt1>
      <a:dk2>
        <a:srgbClr val="4C535A"/>
      </a:dk2>
      <a:lt2>
        <a:srgbClr val="B7C7D7"/>
      </a:lt2>
      <a:accent1>
        <a:srgbClr val="033636"/>
      </a:accent1>
      <a:accent2>
        <a:srgbClr val="00DCA1"/>
      </a:accent2>
      <a:accent3>
        <a:srgbClr val="FFD031"/>
      </a:accent3>
      <a:accent4>
        <a:srgbClr val="C55500"/>
      </a:accent4>
      <a:accent5>
        <a:srgbClr val="38D5FF"/>
      </a:accent5>
      <a:accent6>
        <a:srgbClr val="083E9C"/>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2" ma:contentTypeDescription="Create a new document." ma:contentTypeScope="" ma:versionID="1819fe98a0b08af335fb593b1122a4ea">
  <xsd:schema xmlns:xsd="http://www.w3.org/2001/XMLSchema" xmlns:xs="http://www.w3.org/2001/XMLSchema" xmlns:p="http://schemas.microsoft.com/office/2006/metadata/properties" xmlns:ns2="66b98d56-25b7-479b-bf58-c8a0702ccf2c" xmlns:ns3="3e9090f6-0245-48e3-bd19-46cc0b4d31f0" xmlns:ns4="15225296-5bc7-404a-82af-55dc9cd4c2a2" targetNamespace="http://schemas.microsoft.com/office/2006/metadata/properties" ma:root="true" ma:fieldsID="168e55e5cbbd0a88883d414fe5bbd17a" ns2:_="" ns3:_="" ns4:_="">
    <xsd:import namespace="66b98d56-25b7-479b-bf58-c8a0702ccf2c"/>
    <xsd:import namespace="3e9090f6-0245-48e3-bd19-46cc0b4d31f0"/>
    <xsd:import namespace="15225296-5bc7-404a-82af-55dc9cd4c2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lcf76f155ced4ddcb4097134ff3c332f xmlns="3e9090f6-0245-48e3-bd19-46cc0b4d31f0">
      <Terms xmlns="http://schemas.microsoft.com/office/infopath/2007/PartnerControls"/>
    </lcf76f155ced4ddcb4097134ff3c332f>
    <Category xmlns="3e9090f6-0245-48e3-bd19-46cc0b4d31f0" xsi:nil="true"/>
    <TaxCatchAll xmlns="15225296-5bc7-404a-82af-55dc9cd4c2a2" xsi:nil="true"/>
  </documentManagement>
</p:properties>
</file>

<file path=customXml/itemProps1.xml><?xml version="1.0" encoding="utf-8"?>
<ds:datastoreItem xmlns:ds="http://schemas.openxmlformats.org/officeDocument/2006/customXml" ds:itemID="{7BF41E4E-30D0-446C-9E4E-23075B130956}">
  <ds:schemaRefs>
    <ds:schemaRef ds:uri="http://schemas.microsoft.com/sharepoint/v3/contenttype/forms"/>
  </ds:schemaRefs>
</ds:datastoreItem>
</file>

<file path=customXml/itemProps2.xml><?xml version="1.0" encoding="utf-8"?>
<ds:datastoreItem xmlns:ds="http://schemas.openxmlformats.org/officeDocument/2006/customXml" ds:itemID="{B81DF894-08B4-4FBF-9BA9-90A346F5F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15225296-5bc7-404a-82af-55dc9cd4c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8C92D-10A9-4FC9-9058-DE83686AD5ED}">
  <ds:schemaRefs>
    <ds:schemaRef ds:uri="http://schemas.openxmlformats.org/officeDocument/2006/bibliography"/>
  </ds:schemaRefs>
</ds:datastoreItem>
</file>

<file path=customXml/itemProps4.xml><?xml version="1.0" encoding="utf-8"?>
<ds:datastoreItem xmlns:ds="http://schemas.openxmlformats.org/officeDocument/2006/customXml" ds:itemID="{AF97A37C-1172-4C9E-B53D-DCF74D34FAEB}">
  <ds:schemaRefs>
    <ds:schemaRef ds:uri="http://schemas.microsoft.com/office/2006/metadata/properties"/>
    <ds:schemaRef ds:uri="http://schemas.microsoft.com/office/infopath/2007/PartnerControls"/>
    <ds:schemaRef ds:uri="3e9090f6-0245-48e3-bd19-46cc0b4d31f0"/>
    <ds:schemaRef ds:uri="15225296-5bc7-404a-82af-55dc9cd4c2a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Preliminary Data Strategy on a page</dc:title>
  <dc:subject/>
  <dc:creator>Department of Health and Aged Care</dc:creator>
  <cp:keywords/>
  <dc:description/>
  <cp:revision>2</cp:revision>
  <cp:lastPrinted>2019-10-15T22:38:00Z</cp:lastPrinted>
  <dcterms:created xsi:type="dcterms:W3CDTF">2024-08-12T04:12:00Z</dcterms:created>
  <dcterms:modified xsi:type="dcterms:W3CDTF">2024-08-12T04:12:00Z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MediaServiceImageTags">
    <vt:lpwstr/>
  </property>
</Properties>
</file>